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361BC5" w14:textId="4E56D1B4" w:rsidR="00D73714" w:rsidRPr="008E0C1D" w:rsidRDefault="00144FFB" w:rsidP="00D73714">
      <w:pPr>
        <w:pStyle w:val="Head"/>
        <w:rPr>
          <w:rFonts w:ascii="Times" w:hAnsi="Times"/>
          <w:color w:val="000000" w:themeColor="text1"/>
          <w:sz w:val="24"/>
          <w:szCs w:val="24"/>
        </w:rPr>
      </w:pPr>
      <w:r w:rsidRPr="008E0C1D">
        <w:rPr>
          <w:rFonts w:ascii="Times" w:hAnsi="Times"/>
          <w:color w:val="000000" w:themeColor="text1"/>
          <w:sz w:val="24"/>
          <w:szCs w:val="24"/>
        </w:rPr>
        <w:t>Forest</w:t>
      </w:r>
      <w:r w:rsidR="00977587" w:rsidRPr="008E0C1D">
        <w:rPr>
          <w:rFonts w:ascii="Times" w:hAnsi="Times"/>
          <w:color w:val="000000" w:themeColor="text1"/>
          <w:sz w:val="24"/>
          <w:szCs w:val="24"/>
        </w:rPr>
        <w:t xml:space="preserve"> </w:t>
      </w:r>
      <w:r w:rsidRPr="008E0C1D">
        <w:rPr>
          <w:rFonts w:ascii="Times" w:hAnsi="Times"/>
          <w:color w:val="000000" w:themeColor="text1"/>
          <w:sz w:val="24"/>
          <w:szCs w:val="24"/>
        </w:rPr>
        <w:t xml:space="preserve">microclimate </w:t>
      </w:r>
      <w:r w:rsidR="00977587" w:rsidRPr="008E0C1D">
        <w:rPr>
          <w:rFonts w:ascii="Times" w:hAnsi="Times"/>
          <w:color w:val="000000" w:themeColor="text1"/>
          <w:sz w:val="24"/>
          <w:szCs w:val="24"/>
        </w:rPr>
        <w:t>dynamics</w:t>
      </w:r>
      <w:r w:rsidRPr="008E0C1D">
        <w:rPr>
          <w:rFonts w:ascii="Times" w:hAnsi="Times"/>
          <w:color w:val="000000" w:themeColor="text1"/>
          <w:sz w:val="24"/>
          <w:szCs w:val="24"/>
        </w:rPr>
        <w:t xml:space="preserve"> drive plant responses to warming</w:t>
      </w:r>
    </w:p>
    <w:p w14:paraId="53020BDC" w14:textId="1C60AB6F" w:rsidR="00144FFB" w:rsidRPr="008E0C1D" w:rsidRDefault="00144FFB" w:rsidP="006F300A">
      <w:pPr>
        <w:pStyle w:val="Authors"/>
        <w:rPr>
          <w:rFonts w:ascii="Times" w:hAnsi="Times"/>
          <w:color w:val="000000" w:themeColor="text1"/>
        </w:rPr>
      </w:pPr>
      <w:r w:rsidRPr="008E0C1D">
        <w:rPr>
          <w:rFonts w:ascii="Times" w:hAnsi="Times"/>
          <w:color w:val="000000" w:themeColor="text1"/>
        </w:rPr>
        <w:t>F</w:t>
      </w:r>
      <w:r w:rsidRPr="008E0C1D">
        <w:rPr>
          <w:color w:val="000000" w:themeColor="text1"/>
        </w:rPr>
        <w:t>lorian Zellweger</w:t>
      </w:r>
      <w:r w:rsidRPr="008E0C1D">
        <w:rPr>
          <w:color w:val="000000" w:themeColor="text1"/>
          <w:vertAlign w:val="superscript"/>
        </w:rPr>
        <w:t>1,2</w:t>
      </w:r>
      <w:r w:rsidRPr="008E0C1D">
        <w:rPr>
          <w:color w:val="000000" w:themeColor="text1"/>
        </w:rPr>
        <w:t>*</w:t>
      </w:r>
      <w:r w:rsidRPr="008E0C1D">
        <w:rPr>
          <w:rFonts w:ascii="Times" w:hAnsi="Times"/>
          <w:color w:val="000000" w:themeColor="text1"/>
        </w:rPr>
        <w:t>†</w:t>
      </w:r>
      <w:r w:rsidRPr="008E0C1D">
        <w:rPr>
          <w:color w:val="000000" w:themeColor="text1"/>
        </w:rPr>
        <w:t>, Pieter De Frenne</w:t>
      </w:r>
      <w:r w:rsidRPr="008E0C1D">
        <w:rPr>
          <w:color w:val="000000" w:themeColor="text1"/>
          <w:vertAlign w:val="superscript"/>
        </w:rPr>
        <w:t>3</w:t>
      </w:r>
      <w:r w:rsidRPr="008E0C1D">
        <w:rPr>
          <w:rFonts w:ascii="Times" w:hAnsi="Times"/>
          <w:color w:val="000000" w:themeColor="text1"/>
        </w:rPr>
        <w:t>†</w:t>
      </w:r>
      <w:r w:rsidRPr="008E0C1D">
        <w:rPr>
          <w:color w:val="000000" w:themeColor="text1"/>
        </w:rPr>
        <w:t>, Jonathan Lenoir</w:t>
      </w:r>
      <w:r w:rsidRPr="008E0C1D">
        <w:rPr>
          <w:color w:val="000000" w:themeColor="text1"/>
          <w:vertAlign w:val="superscript"/>
        </w:rPr>
        <w:t>4</w:t>
      </w:r>
      <w:r w:rsidRPr="008E0C1D">
        <w:rPr>
          <w:color w:val="000000" w:themeColor="text1"/>
        </w:rPr>
        <w:t>, Pieter Vangansbeke</w:t>
      </w:r>
      <w:r w:rsidRPr="008E0C1D">
        <w:rPr>
          <w:color w:val="000000" w:themeColor="text1"/>
          <w:vertAlign w:val="superscript"/>
        </w:rPr>
        <w:t>3</w:t>
      </w:r>
      <w:r w:rsidRPr="008E0C1D">
        <w:rPr>
          <w:color w:val="000000" w:themeColor="text1"/>
        </w:rPr>
        <w:t>, Kris Verheyen</w:t>
      </w:r>
      <w:r w:rsidRPr="008E0C1D">
        <w:rPr>
          <w:color w:val="000000" w:themeColor="text1"/>
          <w:vertAlign w:val="superscript"/>
        </w:rPr>
        <w:t>3</w:t>
      </w:r>
      <w:r w:rsidRPr="008E0C1D">
        <w:rPr>
          <w:color w:val="000000" w:themeColor="text1"/>
        </w:rPr>
        <w:t>, Markus Bernhardt-Römermann</w:t>
      </w:r>
      <w:r w:rsidRPr="008E0C1D">
        <w:rPr>
          <w:color w:val="000000" w:themeColor="text1"/>
          <w:vertAlign w:val="superscript"/>
        </w:rPr>
        <w:t>5</w:t>
      </w:r>
      <w:r w:rsidRPr="008E0C1D">
        <w:rPr>
          <w:color w:val="000000" w:themeColor="text1"/>
        </w:rPr>
        <w:t>, Lander Baeten</w:t>
      </w:r>
      <w:r w:rsidRPr="008E0C1D">
        <w:rPr>
          <w:color w:val="000000" w:themeColor="text1"/>
          <w:vertAlign w:val="superscript"/>
        </w:rPr>
        <w:t>3</w:t>
      </w:r>
      <w:r w:rsidRPr="008E0C1D">
        <w:rPr>
          <w:color w:val="000000" w:themeColor="text1"/>
        </w:rPr>
        <w:t>, Radim Hédl</w:t>
      </w:r>
      <w:r w:rsidRPr="008E0C1D">
        <w:rPr>
          <w:color w:val="000000" w:themeColor="text1"/>
          <w:vertAlign w:val="superscript"/>
        </w:rPr>
        <w:t>6</w:t>
      </w:r>
      <w:r w:rsidRPr="008E0C1D">
        <w:rPr>
          <w:color w:val="000000" w:themeColor="text1"/>
        </w:rPr>
        <w:t>, Imre Berki</w:t>
      </w:r>
      <w:r w:rsidRPr="008E0C1D">
        <w:rPr>
          <w:color w:val="000000" w:themeColor="text1"/>
          <w:vertAlign w:val="superscript"/>
        </w:rPr>
        <w:t>7</w:t>
      </w:r>
      <w:r w:rsidRPr="008E0C1D">
        <w:rPr>
          <w:color w:val="000000" w:themeColor="text1"/>
        </w:rPr>
        <w:t>, Jörg Brunet</w:t>
      </w:r>
      <w:r w:rsidRPr="008E0C1D">
        <w:rPr>
          <w:color w:val="000000" w:themeColor="text1"/>
          <w:vertAlign w:val="superscript"/>
        </w:rPr>
        <w:t>8</w:t>
      </w:r>
      <w:r w:rsidRPr="008E0C1D">
        <w:rPr>
          <w:color w:val="000000" w:themeColor="text1"/>
        </w:rPr>
        <w:t>, Hans Van Calster</w:t>
      </w:r>
      <w:r w:rsidRPr="008E0C1D">
        <w:rPr>
          <w:color w:val="000000" w:themeColor="text1"/>
          <w:vertAlign w:val="superscript"/>
        </w:rPr>
        <w:t>9</w:t>
      </w:r>
      <w:r w:rsidRPr="008E0C1D">
        <w:rPr>
          <w:color w:val="000000" w:themeColor="text1"/>
        </w:rPr>
        <w:t>, Markéta Chudomelová</w:t>
      </w:r>
      <w:r w:rsidRPr="008E0C1D">
        <w:rPr>
          <w:color w:val="000000" w:themeColor="text1"/>
          <w:vertAlign w:val="superscript"/>
        </w:rPr>
        <w:t>10</w:t>
      </w:r>
      <w:r w:rsidRPr="008E0C1D">
        <w:rPr>
          <w:color w:val="000000" w:themeColor="text1"/>
        </w:rPr>
        <w:t>,</w:t>
      </w:r>
      <w:r w:rsidR="00A247D0" w:rsidRPr="008E0C1D">
        <w:rPr>
          <w:color w:val="000000" w:themeColor="text1"/>
        </w:rPr>
        <w:t xml:space="preserve"> Guillaume Decocq</w:t>
      </w:r>
      <w:r w:rsidR="00A247D0" w:rsidRPr="008E0C1D">
        <w:rPr>
          <w:color w:val="000000" w:themeColor="text1"/>
          <w:vertAlign w:val="superscript"/>
        </w:rPr>
        <w:t>4</w:t>
      </w:r>
      <w:r w:rsidR="00A247D0" w:rsidRPr="008E0C1D">
        <w:rPr>
          <w:color w:val="000000" w:themeColor="text1"/>
        </w:rPr>
        <w:t>,</w:t>
      </w:r>
      <w:r w:rsidRPr="008E0C1D">
        <w:rPr>
          <w:color w:val="000000" w:themeColor="text1"/>
        </w:rPr>
        <w:t xml:space="preserve"> Thomas Dirnböck</w:t>
      </w:r>
      <w:r w:rsidRPr="008E0C1D">
        <w:rPr>
          <w:color w:val="000000" w:themeColor="text1"/>
          <w:vertAlign w:val="superscript"/>
        </w:rPr>
        <w:t>11</w:t>
      </w:r>
      <w:r w:rsidRPr="008E0C1D">
        <w:rPr>
          <w:color w:val="000000" w:themeColor="text1"/>
        </w:rPr>
        <w:t>, Tomasz Durak</w:t>
      </w:r>
      <w:r w:rsidRPr="008E0C1D">
        <w:rPr>
          <w:color w:val="000000" w:themeColor="text1"/>
          <w:vertAlign w:val="superscript"/>
        </w:rPr>
        <w:t>12</w:t>
      </w:r>
      <w:r w:rsidRPr="008E0C1D">
        <w:rPr>
          <w:color w:val="000000" w:themeColor="text1"/>
        </w:rPr>
        <w:t>, Thilo Heinken</w:t>
      </w:r>
      <w:r w:rsidRPr="008E0C1D">
        <w:rPr>
          <w:color w:val="000000" w:themeColor="text1"/>
          <w:vertAlign w:val="superscript"/>
        </w:rPr>
        <w:t>13</w:t>
      </w:r>
      <w:r w:rsidRPr="008E0C1D">
        <w:rPr>
          <w:color w:val="000000" w:themeColor="text1"/>
        </w:rPr>
        <w:t>, Bogdan Jaroszewicz</w:t>
      </w:r>
      <w:r w:rsidRPr="008E0C1D">
        <w:rPr>
          <w:color w:val="000000" w:themeColor="text1"/>
          <w:vertAlign w:val="superscript"/>
        </w:rPr>
        <w:t>14</w:t>
      </w:r>
      <w:r w:rsidRPr="008E0C1D">
        <w:rPr>
          <w:color w:val="000000" w:themeColor="text1"/>
        </w:rPr>
        <w:t>, Martin Kopecký</w:t>
      </w:r>
      <w:r w:rsidRPr="008E0C1D">
        <w:rPr>
          <w:color w:val="000000" w:themeColor="text1"/>
          <w:vertAlign w:val="superscript"/>
        </w:rPr>
        <w:t>15</w:t>
      </w:r>
      <w:r w:rsidRPr="008E0C1D">
        <w:rPr>
          <w:color w:val="000000" w:themeColor="text1"/>
        </w:rPr>
        <w:t>, František Máliš</w:t>
      </w:r>
      <w:r w:rsidRPr="008E0C1D">
        <w:rPr>
          <w:color w:val="000000" w:themeColor="text1"/>
          <w:vertAlign w:val="superscript"/>
        </w:rPr>
        <w:t>16</w:t>
      </w:r>
      <w:r w:rsidRPr="008E0C1D">
        <w:rPr>
          <w:color w:val="000000" w:themeColor="text1"/>
        </w:rPr>
        <w:t>, Martin Macek</w:t>
      </w:r>
      <w:r w:rsidRPr="008E0C1D">
        <w:rPr>
          <w:color w:val="000000" w:themeColor="text1"/>
          <w:vertAlign w:val="superscript"/>
        </w:rPr>
        <w:t>17</w:t>
      </w:r>
      <w:r w:rsidRPr="008E0C1D">
        <w:rPr>
          <w:color w:val="000000" w:themeColor="text1"/>
        </w:rPr>
        <w:t>, Malicki Marek</w:t>
      </w:r>
      <w:r w:rsidRPr="008E0C1D">
        <w:rPr>
          <w:color w:val="000000" w:themeColor="text1"/>
          <w:vertAlign w:val="superscript"/>
        </w:rPr>
        <w:t>18</w:t>
      </w:r>
      <w:r w:rsidRPr="008E0C1D">
        <w:rPr>
          <w:color w:val="000000" w:themeColor="text1"/>
        </w:rPr>
        <w:t>, Tobias Naaf</w:t>
      </w:r>
      <w:r w:rsidRPr="008E0C1D">
        <w:rPr>
          <w:color w:val="000000" w:themeColor="text1"/>
          <w:vertAlign w:val="superscript"/>
        </w:rPr>
        <w:t>19</w:t>
      </w:r>
      <w:r w:rsidRPr="008E0C1D">
        <w:rPr>
          <w:color w:val="000000" w:themeColor="text1"/>
        </w:rPr>
        <w:t>, Thomas A. Nagel</w:t>
      </w:r>
      <w:r w:rsidRPr="008E0C1D">
        <w:rPr>
          <w:color w:val="000000" w:themeColor="text1"/>
          <w:vertAlign w:val="superscript"/>
        </w:rPr>
        <w:t>20</w:t>
      </w:r>
      <w:r w:rsidRPr="008E0C1D">
        <w:rPr>
          <w:color w:val="000000" w:themeColor="text1"/>
        </w:rPr>
        <w:t>, Adrienne Ortmann-Ajkai</w:t>
      </w:r>
      <w:r w:rsidRPr="008E0C1D">
        <w:rPr>
          <w:color w:val="000000" w:themeColor="text1"/>
          <w:vertAlign w:val="superscript"/>
        </w:rPr>
        <w:t>21</w:t>
      </w:r>
      <w:r w:rsidRPr="008E0C1D">
        <w:rPr>
          <w:color w:val="000000" w:themeColor="text1"/>
        </w:rPr>
        <w:t>, Petr Petřík</w:t>
      </w:r>
      <w:r w:rsidRPr="008E0C1D">
        <w:rPr>
          <w:color w:val="000000" w:themeColor="text1"/>
          <w:vertAlign w:val="superscript"/>
        </w:rPr>
        <w:t>22</w:t>
      </w:r>
      <w:r w:rsidRPr="008E0C1D">
        <w:rPr>
          <w:color w:val="000000" w:themeColor="text1"/>
        </w:rPr>
        <w:t>, Remigiusz Pielech</w:t>
      </w:r>
      <w:r w:rsidRPr="008E0C1D">
        <w:rPr>
          <w:color w:val="000000" w:themeColor="text1"/>
          <w:vertAlign w:val="superscript"/>
        </w:rPr>
        <w:t>23</w:t>
      </w:r>
      <w:r w:rsidRPr="008E0C1D">
        <w:rPr>
          <w:color w:val="000000" w:themeColor="text1"/>
        </w:rPr>
        <w:t>, Kamila Reczyńska</w:t>
      </w:r>
      <w:r w:rsidRPr="008E0C1D">
        <w:rPr>
          <w:color w:val="000000" w:themeColor="text1"/>
          <w:vertAlign w:val="superscript"/>
        </w:rPr>
        <w:t>24</w:t>
      </w:r>
      <w:r w:rsidRPr="008E0C1D">
        <w:rPr>
          <w:color w:val="000000" w:themeColor="text1"/>
        </w:rPr>
        <w:t>, Wolfgang Schmidt</w:t>
      </w:r>
      <w:r w:rsidRPr="008E0C1D">
        <w:rPr>
          <w:color w:val="000000" w:themeColor="text1"/>
          <w:vertAlign w:val="superscript"/>
        </w:rPr>
        <w:t>25</w:t>
      </w:r>
      <w:r w:rsidRPr="008E0C1D">
        <w:rPr>
          <w:color w:val="000000" w:themeColor="text1"/>
        </w:rPr>
        <w:t>, Tibor Standovár</w:t>
      </w:r>
      <w:r w:rsidRPr="008E0C1D">
        <w:rPr>
          <w:color w:val="000000" w:themeColor="text1"/>
          <w:vertAlign w:val="superscript"/>
        </w:rPr>
        <w:t>26</w:t>
      </w:r>
      <w:r w:rsidRPr="008E0C1D">
        <w:rPr>
          <w:color w:val="000000" w:themeColor="text1"/>
        </w:rPr>
        <w:t>, Krzysztof Świerkosz</w:t>
      </w:r>
      <w:r w:rsidRPr="008E0C1D">
        <w:rPr>
          <w:color w:val="000000" w:themeColor="text1"/>
          <w:vertAlign w:val="superscript"/>
        </w:rPr>
        <w:t>27</w:t>
      </w:r>
      <w:r w:rsidRPr="008E0C1D">
        <w:rPr>
          <w:color w:val="000000" w:themeColor="text1"/>
        </w:rPr>
        <w:t>, Balázs Teleki</w:t>
      </w:r>
      <w:r w:rsidRPr="008E0C1D">
        <w:rPr>
          <w:color w:val="000000" w:themeColor="text1"/>
          <w:vertAlign w:val="superscript"/>
        </w:rPr>
        <w:t>28</w:t>
      </w:r>
      <w:r w:rsidRPr="008E0C1D">
        <w:rPr>
          <w:color w:val="000000" w:themeColor="text1"/>
        </w:rPr>
        <w:t>, Ondřej Vild</w:t>
      </w:r>
      <w:r w:rsidRPr="008E0C1D">
        <w:rPr>
          <w:color w:val="000000" w:themeColor="text1"/>
          <w:vertAlign w:val="superscript"/>
        </w:rPr>
        <w:t>10</w:t>
      </w:r>
      <w:r w:rsidRPr="008E0C1D">
        <w:rPr>
          <w:color w:val="000000" w:themeColor="text1"/>
        </w:rPr>
        <w:t>, Monika Wulf</w:t>
      </w:r>
      <w:r w:rsidRPr="008E0C1D">
        <w:rPr>
          <w:color w:val="000000" w:themeColor="text1"/>
          <w:vertAlign w:val="superscript"/>
        </w:rPr>
        <w:t>29</w:t>
      </w:r>
      <w:r w:rsidRPr="008E0C1D">
        <w:rPr>
          <w:color w:val="000000" w:themeColor="text1"/>
        </w:rPr>
        <w:t>, David Coomes</w:t>
      </w:r>
      <w:r w:rsidRPr="008E0C1D">
        <w:rPr>
          <w:color w:val="000000" w:themeColor="text1"/>
          <w:vertAlign w:val="superscript"/>
        </w:rPr>
        <w:t>1</w:t>
      </w:r>
      <w:r w:rsidR="008E0C1D" w:rsidRPr="008E0C1D">
        <w:rPr>
          <w:color w:val="000000" w:themeColor="text1"/>
        </w:rPr>
        <w:t>*</w:t>
      </w:r>
      <w:bookmarkStart w:id="0" w:name="_GoBack"/>
      <w:bookmarkEnd w:id="0"/>
    </w:p>
    <w:p w14:paraId="01457E02"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 </w:t>
      </w:r>
      <w:r w:rsidRPr="008E0C1D">
        <w:rPr>
          <w:rFonts w:eastAsia="Times New Roman"/>
          <w:color w:val="000000" w:themeColor="text1"/>
        </w:rPr>
        <w:t>Forest Ecology and Conservation Group, Department of Plant Sciences, University of Cambridge, Downing Street, Cambridge CB23EA, UK</w:t>
      </w:r>
    </w:p>
    <w:p w14:paraId="61FFB26B"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 </w:t>
      </w:r>
      <w:r w:rsidRPr="008E0C1D">
        <w:rPr>
          <w:rFonts w:eastAsia="Times New Roman"/>
          <w:color w:val="000000" w:themeColor="text1"/>
        </w:rPr>
        <w:t>Swiss Federal Institute for Forest, Snow and Landscape Research WSL, Zürcherstrasse 111, 8903 Birmensdorf, Switzerland</w:t>
      </w:r>
    </w:p>
    <w:p w14:paraId="296CACB5"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3 </w:t>
      </w:r>
      <w:r w:rsidRPr="008E0C1D">
        <w:rPr>
          <w:rFonts w:eastAsia="Times New Roman"/>
          <w:color w:val="000000" w:themeColor="text1"/>
        </w:rPr>
        <w:t>Forest &amp; Nature Lab, Department of Environment, Faculty of Bioscience Engineering, Ghent University, Geraardsbergsesteenweg 267, Melle-Gontrode, Belgium</w:t>
      </w:r>
    </w:p>
    <w:p w14:paraId="492A6808" w14:textId="77777777" w:rsidR="00144FFB" w:rsidRPr="008E0C1D" w:rsidRDefault="00144FFB" w:rsidP="00144FFB">
      <w:pPr>
        <w:rPr>
          <w:rFonts w:eastAsia="Times New Roman"/>
          <w:color w:val="000000" w:themeColor="text1"/>
          <w:lang w:val="fr-FR"/>
        </w:rPr>
      </w:pPr>
      <w:r w:rsidRPr="008E0C1D">
        <w:rPr>
          <w:rFonts w:eastAsia="Times New Roman"/>
          <w:color w:val="000000" w:themeColor="text1"/>
          <w:vertAlign w:val="superscript"/>
          <w:lang w:val="fr-FR"/>
        </w:rPr>
        <w:t xml:space="preserve">4 </w:t>
      </w:r>
      <w:r w:rsidRPr="008E0C1D">
        <w:rPr>
          <w:rFonts w:eastAsia="Times New Roman"/>
          <w:color w:val="000000" w:themeColor="text1"/>
          <w:lang w:val="fr-FR"/>
        </w:rPr>
        <w:t>UR "Ecologie et Dynamique des Systèmes Anthropisés" (EDYSAN, UMR 7058 CNRS-UPJV), Université de Picardie Jules Verne, 1 Rue des Louvels, 800037 Amiens Cedex 1, France</w:t>
      </w:r>
    </w:p>
    <w:p w14:paraId="7AE5D14C"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5</w:t>
      </w:r>
      <w:r w:rsidRPr="008E0C1D">
        <w:rPr>
          <w:rFonts w:eastAsia="Times New Roman"/>
          <w:color w:val="000000" w:themeColor="text1"/>
        </w:rPr>
        <w:t xml:space="preserve"> Institute of Ecology and Evolution; Friedrich Schiller University Jena; Dornburger Str. 159; D-07743 Jena, Germany</w:t>
      </w:r>
    </w:p>
    <w:p w14:paraId="5D9B3B02"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6</w:t>
      </w:r>
      <w:r w:rsidRPr="008E0C1D">
        <w:rPr>
          <w:rFonts w:eastAsia="Times New Roman"/>
          <w:color w:val="000000" w:themeColor="text1"/>
        </w:rPr>
        <w:t xml:space="preserve"> Institute of Botany of the Czech Academy of Sciences, Lidická 25/27, CZ-602 00, Brno, Czech Republic; Department of Botany, Faculty of Science, Palacký University in Olomouc, Šlechtitelů 27, CZ-78371 Olomouc, Czech Republic</w:t>
      </w:r>
    </w:p>
    <w:p w14:paraId="273392DF"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7</w:t>
      </w:r>
      <w:r w:rsidRPr="008E0C1D">
        <w:rPr>
          <w:rFonts w:eastAsia="Times New Roman"/>
          <w:color w:val="000000" w:themeColor="text1"/>
        </w:rPr>
        <w:t xml:space="preserve"> University of Sopron, Institute of Environmental and Earth Sciences, Bajcsy-Zsilinszky str. 4., H-9400, Sopron, Hungary</w:t>
      </w:r>
    </w:p>
    <w:p w14:paraId="00963202"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8 </w:t>
      </w:r>
      <w:r w:rsidRPr="008E0C1D">
        <w:rPr>
          <w:rFonts w:eastAsia="Times New Roman"/>
          <w:color w:val="000000" w:themeColor="text1"/>
        </w:rPr>
        <w:t>Swedish University of Agricultural Sciences, Southern Swedish Forest Research Centre, Box 49, 230 53 Alnarp, Sweden</w:t>
      </w:r>
    </w:p>
    <w:p w14:paraId="1D0924A9"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9 </w:t>
      </w:r>
      <w:r w:rsidRPr="008E0C1D">
        <w:rPr>
          <w:rFonts w:eastAsia="Times New Roman"/>
          <w:color w:val="000000" w:themeColor="text1"/>
        </w:rPr>
        <w:t>Research Institute for Nature and Forsest (INBO), Havenlaan 88 bus 73, B-1000 Brussel, Belgium</w:t>
      </w:r>
    </w:p>
    <w:p w14:paraId="02D02823"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10 </w:t>
      </w:r>
      <w:r w:rsidRPr="008E0C1D">
        <w:rPr>
          <w:rFonts w:eastAsia="Times New Roman"/>
          <w:color w:val="000000" w:themeColor="text1"/>
        </w:rPr>
        <w:t>Institute of Botany of the Czech Academy of Sciences, Lidická 25/27, CZ-602 00, Brno, Czech Republic</w:t>
      </w:r>
    </w:p>
    <w:p w14:paraId="06A0834C"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11 </w:t>
      </w:r>
      <w:r w:rsidRPr="008E0C1D">
        <w:rPr>
          <w:rFonts w:eastAsia="Times New Roman"/>
          <w:color w:val="000000" w:themeColor="text1"/>
        </w:rPr>
        <w:t>Environment Agenca Yustria, Spittelauer Lände 5, A-1090 Vienna, Austria</w:t>
      </w:r>
    </w:p>
    <w:p w14:paraId="56D9BBC3"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12 </w:t>
      </w:r>
      <w:r w:rsidRPr="008E0C1D">
        <w:rPr>
          <w:rFonts w:eastAsia="Times New Roman"/>
          <w:color w:val="000000" w:themeColor="text1"/>
        </w:rPr>
        <w:t>Department of Plant Physiology and Ecology, University of Rzeszów, Rejtana 16c, PL-35-959 Rzeszów, Poland</w:t>
      </w:r>
    </w:p>
    <w:p w14:paraId="7A05030D"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13 </w:t>
      </w:r>
      <w:r w:rsidRPr="008E0C1D">
        <w:rPr>
          <w:rFonts w:eastAsia="Times New Roman"/>
          <w:color w:val="000000" w:themeColor="text1"/>
        </w:rPr>
        <w:t>General Botany, Insitute of Biochemistry and Biology, University of Potsdam, Maulbeerallee 3, 14469 Potsdam, Germany.</w:t>
      </w:r>
    </w:p>
    <w:p w14:paraId="2D531384"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14 </w:t>
      </w:r>
      <w:r w:rsidRPr="008E0C1D">
        <w:rPr>
          <w:rFonts w:eastAsia="Times New Roman"/>
          <w:color w:val="000000" w:themeColor="text1"/>
        </w:rPr>
        <w:t>Białowieża Geobotanical Station, Faculty of Biology, University of Warsaw, Sportowa 19, 17-230 Białowieża, Poland</w:t>
      </w:r>
    </w:p>
    <w:p w14:paraId="67208A4A"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15 </w:t>
      </w:r>
      <w:r w:rsidRPr="008E0C1D">
        <w:rPr>
          <w:rFonts w:eastAsia="Times New Roman"/>
          <w:color w:val="000000" w:themeColor="text1"/>
        </w:rPr>
        <w:t>Institute of Botany of the Czech Academy of Sciences, Zámek 1, CZ-252 43, Průhonice, Czech Republic and Faculty of Forestry and Wood Sciences, Czech University of Life Sciences Prague, Kamýcká 129, CZ-165 21, Prague 6 - Suchdol, Czech Republic</w:t>
      </w:r>
    </w:p>
    <w:p w14:paraId="666622D4"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16 </w:t>
      </w:r>
      <w:r w:rsidRPr="008E0C1D">
        <w:rPr>
          <w:rFonts w:eastAsia="Times New Roman"/>
          <w:color w:val="000000" w:themeColor="text1"/>
        </w:rPr>
        <w:t>Faculty of Forestry, Technical University in Zvolen, T. G. Masaryka 24, SK-960 01 Zvolen, Slovakia; National Forest Centre, T. G. Masaryka 22, SK-960 01 Zvolen, Slovakia</w:t>
      </w:r>
    </w:p>
    <w:p w14:paraId="77531912"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17 </w:t>
      </w:r>
      <w:r w:rsidRPr="008E0C1D">
        <w:rPr>
          <w:rFonts w:eastAsia="Times New Roman"/>
          <w:color w:val="000000" w:themeColor="text1"/>
        </w:rPr>
        <w:t>Institute of Botany of the Czech Academy of Sciences, Zámek 1, CZ-252 43, Průhonice, Czech Republic</w:t>
      </w:r>
    </w:p>
    <w:p w14:paraId="49F5C39F"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18 </w:t>
      </w:r>
      <w:r w:rsidRPr="008E0C1D">
        <w:rPr>
          <w:rFonts w:eastAsia="Times New Roman"/>
          <w:color w:val="000000" w:themeColor="text1"/>
        </w:rPr>
        <w:t>Department of Botany, Faculty of Biological Sciences, University of Wrocław, Poland</w:t>
      </w:r>
    </w:p>
    <w:p w14:paraId="745E7CCE"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19 </w:t>
      </w:r>
      <w:r w:rsidRPr="008E0C1D">
        <w:rPr>
          <w:rFonts w:eastAsia="Times New Roman"/>
          <w:color w:val="000000" w:themeColor="text1"/>
        </w:rPr>
        <w:t>Leibniz Centre for Agricultural Landscape Research (ZALF), Eberswalder Str. 84, D-15374 Muencheberg, Germany</w:t>
      </w:r>
    </w:p>
    <w:p w14:paraId="67E6E711"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20 </w:t>
      </w:r>
      <w:r w:rsidRPr="008E0C1D">
        <w:rPr>
          <w:rFonts w:eastAsia="Times New Roman"/>
          <w:color w:val="000000" w:themeColor="text1"/>
        </w:rPr>
        <w:t>Department of forestry and renewable forest resources, Biotechnical Faculty, University of Ljubljana, Večna pot 83, Ljubljana 1000, Slovenia</w:t>
      </w:r>
    </w:p>
    <w:p w14:paraId="203B5750"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21 </w:t>
      </w:r>
      <w:r w:rsidRPr="008E0C1D">
        <w:rPr>
          <w:rFonts w:eastAsia="Times New Roman"/>
          <w:color w:val="000000" w:themeColor="text1"/>
        </w:rPr>
        <w:t>Department of Hydrobiology, Institute of Biology, University of Pécs, Ifjuság útja 6, H-7624 Pécs, Hungary</w:t>
      </w:r>
    </w:p>
    <w:p w14:paraId="1F914D44"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22 </w:t>
      </w:r>
      <w:r w:rsidRPr="008E0C1D">
        <w:rPr>
          <w:rFonts w:eastAsia="Times New Roman"/>
          <w:color w:val="000000" w:themeColor="text1"/>
        </w:rPr>
        <w:t>Institute of Botany of the Czech Academy of Sciences, Zámek 1, CZ-252 43, Průhonice, Czech Republic</w:t>
      </w:r>
    </w:p>
    <w:p w14:paraId="244DDBD5"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23 </w:t>
      </w:r>
      <w:r w:rsidRPr="008E0C1D">
        <w:rPr>
          <w:rFonts w:eastAsia="Times New Roman"/>
          <w:color w:val="000000" w:themeColor="text1"/>
        </w:rPr>
        <w:t>Department of Forest Biodiversity, Faculty of Forestry, University of Agriculture in Kraków, Poland</w:t>
      </w:r>
    </w:p>
    <w:p w14:paraId="59F741B6"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24 </w:t>
      </w:r>
      <w:r w:rsidRPr="008E0C1D">
        <w:rPr>
          <w:rFonts w:eastAsia="Times New Roman"/>
          <w:color w:val="000000" w:themeColor="text1"/>
        </w:rPr>
        <w:t>Department of Botany, Institute of Environmental Biology, University of Wrocław, Kanonia 6/8, PL-50-328 Wrocław, Poland</w:t>
      </w:r>
    </w:p>
    <w:p w14:paraId="7DA0B9F5"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25 </w:t>
      </w:r>
      <w:r w:rsidRPr="008E0C1D">
        <w:rPr>
          <w:rFonts w:eastAsia="Times New Roman"/>
          <w:color w:val="000000" w:themeColor="text1"/>
        </w:rPr>
        <w:t>Department of Silviculture and Forest Ecology of the Temperate Zones, University of Göttingen, Germany</w:t>
      </w:r>
    </w:p>
    <w:p w14:paraId="1A0AD9DA"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lastRenderedPageBreak/>
        <w:t xml:space="preserve">26 </w:t>
      </w:r>
      <w:r w:rsidRPr="008E0C1D">
        <w:rPr>
          <w:rFonts w:eastAsia="Times New Roman"/>
          <w:color w:val="000000" w:themeColor="text1"/>
        </w:rPr>
        <w:t>Department of Plant Systematics, Ecology and Theoretical Biology, Institute of Biology, L. Eötvös University, Pázmány P. sétány 1/c H-1117 Budapest, Hungary</w:t>
      </w:r>
    </w:p>
    <w:p w14:paraId="2D543EC3"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27 </w:t>
      </w:r>
      <w:r w:rsidRPr="008E0C1D">
        <w:rPr>
          <w:rFonts w:eastAsia="Times New Roman"/>
          <w:color w:val="000000" w:themeColor="text1"/>
        </w:rPr>
        <w:t>Museum of Natural History, University of Wrocław, Sienkiewicza 21, PL-50-335 Wroclaw. Poland</w:t>
      </w:r>
    </w:p>
    <w:p w14:paraId="13F88C05"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28 </w:t>
      </w:r>
      <w:r w:rsidRPr="008E0C1D">
        <w:rPr>
          <w:rFonts w:eastAsia="Times New Roman"/>
          <w:color w:val="000000" w:themeColor="text1"/>
        </w:rPr>
        <w:t xml:space="preserve">University of Pécs, Institute for Regional Development, Rákóczi str. 1, H-7100, Szekszárd, Hungary and University of Debrecen, Department of Ecology, Egyetem sqr. 1,H-4032, Hungary </w:t>
      </w:r>
    </w:p>
    <w:p w14:paraId="412052BD" w14:textId="77777777" w:rsidR="00144FFB" w:rsidRPr="008E0C1D" w:rsidRDefault="00144FFB" w:rsidP="00144FFB">
      <w:pPr>
        <w:rPr>
          <w:rFonts w:eastAsia="Times New Roman"/>
          <w:color w:val="000000" w:themeColor="text1"/>
        </w:rPr>
      </w:pPr>
      <w:r w:rsidRPr="008E0C1D">
        <w:rPr>
          <w:rFonts w:eastAsia="Times New Roman"/>
          <w:color w:val="000000" w:themeColor="text1"/>
          <w:vertAlign w:val="superscript"/>
        </w:rPr>
        <w:t xml:space="preserve">29 </w:t>
      </w:r>
      <w:r w:rsidRPr="008E0C1D">
        <w:rPr>
          <w:rFonts w:eastAsia="Times New Roman"/>
          <w:color w:val="000000" w:themeColor="text1"/>
        </w:rPr>
        <w:t>Leibniz Centre for Agricultural Landscape Research (ZALF), Eberswalder Str. 84, D-15374 Muencheberg, Germany</w:t>
      </w:r>
    </w:p>
    <w:p w14:paraId="1012FBF9" w14:textId="77777777" w:rsidR="00144FFB" w:rsidRPr="008E0C1D" w:rsidRDefault="00144FFB" w:rsidP="00144FFB">
      <w:pPr>
        <w:rPr>
          <w:rFonts w:eastAsia="Times New Roman"/>
          <w:color w:val="000000" w:themeColor="text1"/>
          <w:sz w:val="22"/>
          <w:szCs w:val="22"/>
        </w:rPr>
      </w:pPr>
    </w:p>
    <w:p w14:paraId="435934BB" w14:textId="77777777" w:rsidR="00144FFB" w:rsidRPr="008E0C1D" w:rsidRDefault="00144FFB" w:rsidP="00144FFB">
      <w:pPr>
        <w:rPr>
          <w:rFonts w:eastAsia="Times New Roman"/>
          <w:color w:val="000000" w:themeColor="text1"/>
        </w:rPr>
      </w:pPr>
      <w:r w:rsidRPr="008E0C1D">
        <w:rPr>
          <w:rFonts w:eastAsia="Times New Roman"/>
          <w:color w:val="000000" w:themeColor="text1"/>
        </w:rPr>
        <w:t xml:space="preserve">* corresponding author: Florian Zellweger, </w:t>
      </w:r>
      <w:hyperlink r:id="rId8" w:history="1">
        <w:r w:rsidRPr="008E0C1D">
          <w:rPr>
            <w:rStyle w:val="Hyperlink"/>
            <w:rFonts w:eastAsia="Times New Roman"/>
            <w:color w:val="000000" w:themeColor="text1"/>
          </w:rPr>
          <w:t>florian.zellweger@wsl.ch</w:t>
        </w:r>
      </w:hyperlink>
    </w:p>
    <w:p w14:paraId="5048C964" w14:textId="588F549F" w:rsidR="00144FFB" w:rsidRPr="008E0C1D" w:rsidRDefault="00144FFB" w:rsidP="00144FFB">
      <w:pPr>
        <w:rPr>
          <w:rFonts w:eastAsia="Times New Roman"/>
          <w:color w:val="000000" w:themeColor="text1"/>
        </w:rPr>
      </w:pPr>
      <w:r w:rsidRPr="008E0C1D">
        <w:rPr>
          <w:rFonts w:ascii="Times" w:hAnsi="Times"/>
          <w:color w:val="000000" w:themeColor="text1"/>
        </w:rPr>
        <w:t xml:space="preserve">† </w:t>
      </w:r>
      <w:r w:rsidRPr="008E0C1D">
        <w:rPr>
          <w:rFonts w:eastAsia="Times New Roman"/>
          <w:color w:val="000000" w:themeColor="text1"/>
        </w:rPr>
        <w:t>these authors contributed equally</w:t>
      </w:r>
      <w:r w:rsidRPr="008E0C1D">
        <w:rPr>
          <w:rFonts w:eastAsia="Times New Roman"/>
          <w:color w:val="000000" w:themeColor="text1"/>
        </w:rPr>
        <w:br w:type="page"/>
      </w:r>
    </w:p>
    <w:p w14:paraId="6AE92596" w14:textId="7EA381D3" w:rsidR="003A5EB7" w:rsidRPr="008E0C1D" w:rsidRDefault="003A5EB7" w:rsidP="00D73714">
      <w:pPr>
        <w:pStyle w:val="AbstractSummary"/>
        <w:rPr>
          <w:rFonts w:ascii="Times" w:hAnsi="Times"/>
          <w:b/>
          <w:color w:val="000000" w:themeColor="text1"/>
        </w:rPr>
      </w:pPr>
      <w:r w:rsidRPr="008E0C1D">
        <w:rPr>
          <w:rFonts w:ascii="Times" w:hAnsi="Times"/>
          <w:b/>
          <w:color w:val="000000" w:themeColor="text1"/>
        </w:rPr>
        <w:lastRenderedPageBreak/>
        <w:t xml:space="preserve">Short title: </w:t>
      </w:r>
      <w:r w:rsidR="00FE05FF" w:rsidRPr="008E0C1D">
        <w:rPr>
          <w:rFonts w:ascii="Times" w:hAnsi="Times"/>
          <w:color w:val="000000" w:themeColor="text1"/>
        </w:rPr>
        <w:t>Forest plant responses to microclimate warming</w:t>
      </w:r>
    </w:p>
    <w:p w14:paraId="52F0E813" w14:textId="1FF6CEBD" w:rsidR="009245D9" w:rsidRPr="008E0C1D" w:rsidRDefault="009245D9" w:rsidP="0023292E">
      <w:pPr>
        <w:pStyle w:val="AbstractSummary"/>
        <w:rPr>
          <w:rFonts w:ascii="Times" w:hAnsi="Times"/>
          <w:bCs/>
          <w:color w:val="000000" w:themeColor="text1"/>
          <w:lang w:val="en-GB"/>
        </w:rPr>
      </w:pPr>
    </w:p>
    <w:p w14:paraId="671E992F" w14:textId="4CBCBD99" w:rsidR="007E0738" w:rsidRPr="008E0C1D" w:rsidRDefault="007E0738" w:rsidP="007E0738">
      <w:pPr>
        <w:pStyle w:val="AbstractSummary"/>
        <w:rPr>
          <w:rFonts w:ascii="Times" w:hAnsi="Times"/>
          <w:color w:val="000000" w:themeColor="text1"/>
          <w:lang w:eastAsia="en-GB"/>
        </w:rPr>
      </w:pPr>
      <w:r w:rsidRPr="008E0C1D">
        <w:rPr>
          <w:rFonts w:ascii="Times" w:hAnsi="Times"/>
          <w:b/>
          <w:color w:val="000000" w:themeColor="text1"/>
        </w:rPr>
        <w:t>Abstract:</w:t>
      </w:r>
      <w:r w:rsidRPr="008E0C1D">
        <w:rPr>
          <w:rFonts w:ascii="Times" w:hAnsi="Times"/>
          <w:color w:val="000000" w:themeColor="text1"/>
        </w:rPr>
        <w:t xml:space="preserve"> </w:t>
      </w:r>
      <w:r w:rsidRPr="008E0C1D">
        <w:rPr>
          <w:color w:val="000000" w:themeColor="text1"/>
        </w:rPr>
        <w:t xml:space="preserve">Climate warming is causing a </w:t>
      </w:r>
      <w:r w:rsidR="00977587" w:rsidRPr="008E0C1D">
        <w:rPr>
          <w:color w:val="000000" w:themeColor="text1"/>
        </w:rPr>
        <w:t>shift in</w:t>
      </w:r>
      <w:r w:rsidRPr="008E0C1D">
        <w:rPr>
          <w:color w:val="000000" w:themeColor="text1"/>
        </w:rPr>
        <w:t xml:space="preserve"> biological communities in favor of warm-affinity species (i.e., thermophilisation)</w:t>
      </w:r>
      <w:r w:rsidRPr="008E0C1D">
        <w:rPr>
          <w:rFonts w:ascii="Times" w:hAnsi="Times"/>
          <w:color w:val="000000" w:themeColor="text1"/>
        </w:rPr>
        <w:t>. However, species responses often lag behind climate warming</w:t>
      </w:r>
      <w:r w:rsidR="005117D7" w:rsidRPr="008E0C1D">
        <w:rPr>
          <w:rFonts w:ascii="Times" w:hAnsi="Times"/>
          <w:color w:val="000000" w:themeColor="text1"/>
        </w:rPr>
        <w:t>, but the reasons for such lags remain largely unknown.</w:t>
      </w:r>
      <w:r w:rsidRPr="008E0C1D">
        <w:rPr>
          <w:color w:val="000000" w:themeColor="text1"/>
        </w:rPr>
        <w:t xml:space="preserve"> </w:t>
      </w:r>
      <w:r w:rsidR="002A33F6" w:rsidRPr="008E0C1D">
        <w:rPr>
          <w:color w:val="000000" w:themeColor="text1"/>
        </w:rPr>
        <w:t xml:space="preserve">Here we </w:t>
      </w:r>
      <w:r w:rsidR="003B66E4" w:rsidRPr="008E0C1D">
        <w:rPr>
          <w:color w:val="000000" w:themeColor="text1"/>
        </w:rPr>
        <w:t xml:space="preserve">analyze </w:t>
      </w:r>
      <w:r w:rsidR="002A33F6" w:rsidRPr="008E0C1D">
        <w:rPr>
          <w:color w:val="000000" w:themeColor="text1"/>
        </w:rPr>
        <w:t xml:space="preserve">multidecadal </w:t>
      </w:r>
      <w:r w:rsidR="00343018" w:rsidRPr="008E0C1D">
        <w:rPr>
          <w:color w:val="000000" w:themeColor="text1"/>
        </w:rPr>
        <w:t>understorey</w:t>
      </w:r>
      <w:r w:rsidR="002A33F6" w:rsidRPr="008E0C1D">
        <w:rPr>
          <w:color w:val="000000" w:themeColor="text1"/>
        </w:rPr>
        <w:t xml:space="preserve"> microclimate dynamics</w:t>
      </w:r>
      <w:r w:rsidR="00F24878" w:rsidRPr="008E0C1D">
        <w:rPr>
          <w:color w:val="000000" w:themeColor="text1"/>
        </w:rPr>
        <w:t xml:space="preserve"> in </w:t>
      </w:r>
      <w:r w:rsidR="00F24878" w:rsidRPr="008E0C1D">
        <w:rPr>
          <w:rFonts w:ascii="Times" w:hAnsi="Times"/>
          <w:color w:val="000000" w:themeColor="text1"/>
        </w:rPr>
        <w:t>European</w:t>
      </w:r>
      <w:r w:rsidR="00F24878" w:rsidRPr="008E0C1D">
        <w:rPr>
          <w:color w:val="000000" w:themeColor="text1"/>
        </w:rPr>
        <w:t xml:space="preserve"> </w:t>
      </w:r>
      <w:r w:rsidR="00F24878" w:rsidRPr="008E0C1D">
        <w:rPr>
          <w:rFonts w:ascii="Times" w:hAnsi="Times"/>
          <w:color w:val="000000" w:themeColor="text1"/>
        </w:rPr>
        <w:t>forests</w:t>
      </w:r>
      <w:r w:rsidR="00A153D6" w:rsidRPr="008E0C1D">
        <w:rPr>
          <w:color w:val="000000" w:themeColor="text1"/>
        </w:rPr>
        <w:t xml:space="preserve"> </w:t>
      </w:r>
      <w:r w:rsidR="00370430" w:rsidRPr="008E0C1D">
        <w:rPr>
          <w:color w:val="000000" w:themeColor="text1"/>
        </w:rPr>
        <w:t>and</w:t>
      </w:r>
      <w:r w:rsidR="00A153D6" w:rsidRPr="008E0C1D">
        <w:rPr>
          <w:color w:val="000000" w:themeColor="text1"/>
        </w:rPr>
        <w:t xml:space="preserve"> </w:t>
      </w:r>
      <w:r w:rsidR="002A33F6" w:rsidRPr="008E0C1D">
        <w:rPr>
          <w:color w:val="000000" w:themeColor="text1"/>
        </w:rPr>
        <w:t xml:space="preserve">show that </w:t>
      </w:r>
      <w:r w:rsidRPr="008E0C1D">
        <w:rPr>
          <w:rFonts w:ascii="Times" w:hAnsi="Times"/>
          <w:color w:val="000000" w:themeColor="text1"/>
        </w:rPr>
        <w:t xml:space="preserve">thermophilisation and the climatic lag in </w:t>
      </w:r>
      <w:r w:rsidR="00F24878" w:rsidRPr="008E0C1D">
        <w:rPr>
          <w:rFonts w:ascii="Times" w:hAnsi="Times"/>
          <w:color w:val="000000" w:themeColor="text1"/>
        </w:rPr>
        <w:t xml:space="preserve">forest </w:t>
      </w:r>
      <w:r w:rsidRPr="008E0C1D">
        <w:rPr>
          <w:rFonts w:ascii="Times" w:hAnsi="Times"/>
          <w:color w:val="000000" w:themeColor="text1"/>
        </w:rPr>
        <w:t>plant communities</w:t>
      </w:r>
      <w:r w:rsidR="00977587" w:rsidRPr="008E0C1D">
        <w:rPr>
          <w:rFonts w:ascii="Times" w:hAnsi="Times"/>
          <w:color w:val="000000" w:themeColor="text1"/>
        </w:rPr>
        <w:t xml:space="preserve"> </w:t>
      </w:r>
      <w:r w:rsidRPr="008E0C1D">
        <w:rPr>
          <w:rFonts w:ascii="Times" w:hAnsi="Times"/>
          <w:color w:val="000000" w:themeColor="text1"/>
        </w:rPr>
        <w:t>are primarily controlled by microclimate</w:t>
      </w:r>
      <w:r w:rsidR="002A33F6" w:rsidRPr="008E0C1D">
        <w:rPr>
          <w:rFonts w:ascii="Times" w:hAnsi="Times"/>
          <w:color w:val="000000" w:themeColor="text1"/>
        </w:rPr>
        <w:t>.</w:t>
      </w:r>
      <w:r w:rsidRPr="008E0C1D">
        <w:rPr>
          <w:rFonts w:ascii="Times" w:hAnsi="Times"/>
          <w:color w:val="000000" w:themeColor="text1"/>
        </w:rPr>
        <w:t xml:space="preserve"> </w:t>
      </w:r>
      <w:r w:rsidRPr="008E0C1D">
        <w:rPr>
          <w:rFonts w:ascii="Times" w:hAnsi="Times"/>
          <w:color w:val="000000" w:themeColor="text1"/>
          <w:lang w:eastAsia="en-GB"/>
        </w:rPr>
        <w:t xml:space="preserve">Increasing tree canopy cover reduces warming rates inside forests, but loss of canopy cover leads to increased </w:t>
      </w:r>
      <w:r w:rsidR="00A231E5" w:rsidRPr="008E0C1D">
        <w:rPr>
          <w:rFonts w:ascii="Times" w:hAnsi="Times"/>
          <w:color w:val="000000" w:themeColor="text1"/>
          <w:lang w:eastAsia="en-GB"/>
        </w:rPr>
        <w:t>local</w:t>
      </w:r>
      <w:r w:rsidRPr="008E0C1D">
        <w:rPr>
          <w:rFonts w:ascii="Times" w:hAnsi="Times"/>
          <w:color w:val="000000" w:themeColor="text1"/>
          <w:lang w:eastAsia="en-GB"/>
        </w:rPr>
        <w:t xml:space="preserve"> heat that exacerbates the disequilibrium between community responses and climate change. </w:t>
      </w:r>
      <w:r w:rsidR="007E121C" w:rsidRPr="008E0C1D">
        <w:rPr>
          <w:rFonts w:ascii="Times" w:hAnsi="Times"/>
          <w:color w:val="000000" w:themeColor="text1"/>
          <w:lang w:eastAsia="en-GB"/>
        </w:rPr>
        <w:t>Reciprocal effects between plants and microclimates are key to understanding the response of forest biodiversity and functioning to climate and land-use changes.</w:t>
      </w:r>
    </w:p>
    <w:p w14:paraId="5D340A3F" w14:textId="77777777" w:rsidR="007D0C14" w:rsidRPr="008E0C1D" w:rsidRDefault="007D0C14" w:rsidP="007E0738">
      <w:pPr>
        <w:pStyle w:val="AbstractSummary"/>
        <w:rPr>
          <w:rFonts w:ascii="Times" w:hAnsi="Times"/>
          <w:color w:val="000000" w:themeColor="text1"/>
          <w:lang w:eastAsia="en-GB"/>
        </w:rPr>
      </w:pPr>
    </w:p>
    <w:p w14:paraId="08D0D5EB" w14:textId="4C3BBFBD" w:rsidR="009E0D81" w:rsidRPr="008E0C1D" w:rsidRDefault="00D73714" w:rsidP="009E0D81">
      <w:pPr>
        <w:pStyle w:val="Teaser"/>
        <w:rPr>
          <w:rFonts w:ascii="Times" w:hAnsi="Times"/>
          <w:color w:val="000000" w:themeColor="text1"/>
        </w:rPr>
      </w:pPr>
      <w:r w:rsidRPr="008E0C1D">
        <w:rPr>
          <w:rFonts w:ascii="Times" w:hAnsi="Times"/>
          <w:b/>
          <w:color w:val="000000" w:themeColor="text1"/>
        </w:rPr>
        <w:t xml:space="preserve">One Sentence Summary: </w:t>
      </w:r>
      <w:r w:rsidR="004A67D2" w:rsidRPr="008E0C1D">
        <w:rPr>
          <w:rFonts w:ascii="Times" w:hAnsi="Times"/>
          <w:color w:val="000000" w:themeColor="text1"/>
        </w:rPr>
        <w:t>The cooling effect of tree canopies can reduce forest biodiversity loss in times of climate warming.</w:t>
      </w:r>
    </w:p>
    <w:p w14:paraId="30B41D32" w14:textId="77777777" w:rsidR="009E0D81" w:rsidRPr="008E0C1D" w:rsidRDefault="009E0D81" w:rsidP="00C13940">
      <w:pPr>
        <w:pStyle w:val="Teaser"/>
        <w:rPr>
          <w:rFonts w:ascii="Times" w:hAnsi="Times"/>
          <w:color w:val="000000" w:themeColor="text1"/>
        </w:rPr>
      </w:pPr>
    </w:p>
    <w:p w14:paraId="2ACE8EC5" w14:textId="1A0A4C80" w:rsidR="00D73714" w:rsidRPr="008E0C1D" w:rsidRDefault="00D73714" w:rsidP="00615848">
      <w:pPr>
        <w:pStyle w:val="Teaser"/>
        <w:rPr>
          <w:rFonts w:ascii="Times" w:hAnsi="Times"/>
          <w:b/>
          <w:color w:val="000000" w:themeColor="text1"/>
        </w:rPr>
      </w:pPr>
      <w:r w:rsidRPr="008E0C1D">
        <w:rPr>
          <w:rFonts w:ascii="Times" w:hAnsi="Times"/>
          <w:b/>
          <w:color w:val="000000" w:themeColor="text1"/>
        </w:rPr>
        <w:t>Main Text</w:t>
      </w:r>
    </w:p>
    <w:p w14:paraId="2351121D" w14:textId="782AF693" w:rsidR="00615848" w:rsidRPr="008E0C1D" w:rsidRDefault="00615848" w:rsidP="00610494">
      <w:pPr>
        <w:rPr>
          <w:rFonts w:eastAsia="Times New Roman"/>
          <w:color w:val="000000" w:themeColor="text1"/>
          <w:sz w:val="24"/>
          <w:szCs w:val="24"/>
        </w:rPr>
      </w:pPr>
      <w:r w:rsidRPr="008E0C1D">
        <w:rPr>
          <w:bCs/>
          <w:color w:val="000000" w:themeColor="text1"/>
          <w:sz w:val="24"/>
          <w:szCs w:val="24"/>
        </w:rPr>
        <w:t xml:space="preserve">Climate warming is having profound effects on ecological processes and biodiversity thus seriously affecting ecosystem functioning and human well-being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{"citationItems":[{"id":"ITEM-1","itemData":{"DOI":"10.1126/science.aai9214","abstract":"Climate change is causing geographical redistribution of plant and animal species globally. These distributional shifts are leading to new ecosystems and ecological communities, changes that will affect human society. Pecl et al. review these current and future impacts and assess their implications for sustainable development goals.Science, this issue p. eaai9214BACKGROUNDThe success of human societies depends intimately on the living components of natural and managed systems. Although the geographical range limits of species are dynamic and fluctuate over time, climate change is impelling a universal redistribution of life on Earth. For marine, freshwater, and terrestrial species alike, the first response to changing climate is often a shift in location, to stay within preferred environmental conditions. At the cooler extremes of their distributions, species are moving poleward, whereas range limits are contracting at the warmer range edge, where temperatures are no longer tolerable. On land, species are also moving to cooler, higher elevations; in the ocean, they are moving to colder water at greater depths. Because different species respond at different rates and to varying degrees, key interactions among species are often disrupted, and new interactions develop. These idiosyncrasies can result in novel biotic communities and rapid changes in ecosystem functioning, with pervasive and sometimes unexpected consequences that propagate through and affect both biological and human communities.ADVANCESAt a time when the world is anticipating unprecedented increases in human population growth and demands, the ability of natural ecosystems to deliver ecosystem services is being challenged by the largest climate-driven global redistribution of species since the Last Glacial Maximum. We demonstrate the serious consequences of this species redistribution for economic development, livelihoods, food security, human health, and culture, and we document feedbacks on climate itself. As with other impacts of climate change, species range shifts will leave “winners” and “losers” in their wake, radically reshaping the pattern of human well-being between regions and different sectors and potentially leading to substantial conflict. The pervasive impacts of changes in species distribution transcend single systems or dimensions, with feedbacks and linkages between multiple interacting scales and through whole ecosystems, inclusive of humans. We argue that the negative eff…","author":[{"dropping-particle":"","family":"Pecl","given":"Gretta T","non-dropping-particle":"","parse-names":false,"suffix":""},{"dropping-particle":"","family":"Araújo","given":"Miguel B","non-dropping-particle":"","parse-names":false,"suffix":""},{"dropping-particle":"","family":"Bell","given":"Johann D","non-dropping-particle":"","parse-names":false,"suffix":""},{"dropping-particle":"","family":"Blanchard","given":"Julia","non-dropping-particle":"","parse-names":false,"suffix":""},{"dropping-particle":"","family":"Bonebrake","given":"Timothy C","non-dropping-particle":"","parse-names":false,"suffix":""},{"dropping-particle":"","family":"Chen","given":"I-Ching","non-dropping-particle":"","parse-names":false,"suffix":""},{"dropping-particle":"","family":"Clark","given":"Timothy D","non-dropping-particle":"","parse-names":false,"suffix":""},{"dropping-particle":"","family":"Colwell","given":"Robert K","non-dropping-particle":"","parse-names":false,"suffix":""},{"dropping-particle":"","family":"Danielsen","given":"Finn","non-dropping-particle":"","parse-names":false,"suffix":""},{"dropping-particle":"","family":"Evengård","given":"Birgitta","non-dropping-particle":"","parse-names":false,"suffix":""},{"dropping-particle":"","family":"Falconi","given":"Lorena","non-dropping-particle":"","parse-names":false,"suffix":""},{"dropping-particle":"","family":"Ferrier","given":"Simon","non-dropping-particle":"","parse-names":false,"suffix":""},{"dropping-particle":"","family":"Frusher","given":"Stewart","non-dropping-particle":"","parse-names":false,"suffix":""},{"dropping-particle":"","family":"Garcia","given":"Raquel A","non-dropping-particle":"","parse-names":false,"suffix":""},{"dropping-particle":"","family":"Griffis","given":"Roger B","non-dropping-particle":"","parse-names":false,"suffix":""},{"dropping-particle":"","family":"Hobday","given":"Alistair J","non-dropping-particle":"","parse-names":false,"suffix":""},{"dropping-particle":"","family":"Janion-Scheepers","given":"Charlene","non-dropping-particle":"","parse-names":false,"suffix":""},{"dropping-particle":"","family":"Jarzyna","given":"Marta A","non-dropping-particle":"","parse-names":false,"suffix":""},{"dropping-particle":"","family":"Jennings","given":"Sarah","non-dropping-particle":"","parse-names":false,"suffix":""},{"dropping-particle":"","family":"Lenoir","given":"Jonathan","non-dropping-particle":"","parse-names":false,"suffix":""},{"dropping-particle":"","family":"Linnetved","given":"Hlif I","non-dropping-particle":"","parse-names":false,"suffix":""},{"dropping-particle":"","family":"Martin","given":"Victoria Y","non-dropping-particle":"","parse-names":false,"suffix":""},{"dropping-particle":"","family":"McCormack","given":"Phillipa C","non-dropping-particle":"","parse-names":false,"suffix":""},{"dropping-particle":"","family":"McDonald","given":"Jan","non-dropping-particle":"","parse-names":false,"suffix":""},{"dropping-particle":"","family":"Mitchell","given":"Nicola J","non-dropping-particle":"","parse-names":false,"suffix":""},{"dropping-particle":"","family":"Mustonen","given":"Tero","non-dropping-particle":"","parse-names":false,"suffix":""},{"dropping-particle":"","family":"Pandolfi","given":"John M","non-dropping-particle":"","parse-names":false,"suffix":""},{"dropping-particle":"","family":"Pettorelli","given":"Nathalie","non-dropping-particle":"","parse-names":false,"suffix":""},{"dropping-particle":"","family":"Popova","given":"Ekaterina","non-dropping-particle":"","parse-names":false,"suffix":""},{"dropping-particle":"","family":"Robinson","given":"Sharon A","non-dropping-particle":"","parse-names":false,"suffix":""},{"dropping-particle":"","family":"Scheffers","given":"Brett R","non-dropping-particle":"","parse-names":false,"suffix":""},{"dropping-particle":"","family":"Shaw","given":"Justine D","non-dropping-particle":"","parse-names":false,"suffix":""},{"dropping-particle":"","family":"Sorte","given":"Cascade J B","non-dropping-particle":"","parse-names":false,"suffix":""},{"dropping-particle":"","family":"Strugnell","given":"Jan M","non-dropping-particle":"","parse-names":false,"suffix":""},{"dropping-particle":"","family":"Sunday","given":"Jennifer M","non-dropping-particle":"","parse-names":false,"suffix":""},{"dropping-particle":"","family":"Tuanmu","given":"Mao-Ning","non-dropping-particle":"","parse-names":false,"suffix":""},{"dropping-particle":"","family":"Vergés","given":"Adriana","non-dropping-particle":"","parse-names":false,"suffix":""},{"dropping-particle":"","family":"Villanueva","given":"Cecilia","non-dropping-particle":"","parse-names":false,"suffix":""},{"dropping-particle":"","family":"Wernberg","given":"Thomas","non-dropping-particle":"","parse-names":false,"suffix":""},{"dropping-particle":"","family":"Wapstra","given":"Erik","non-dropping-particle":"","parse-names":false,"suffix":""},{"dropping-particle":"","family":"Williams","given":"Stephen E","non-dropping-particle":"","parse-names":false,"suffix":""}],"container-title":"Science","id":"ITEM-1","issue":"6332","issued":{"date-parts":[["2017"]]},"title":"Biodiversity redistribution under climate change: Impacts on ecosystems and human well-being","type":"article-journal","volume":"355"},"uris":["http://www.mendeley.com/documents/?uuid=44259d19-570b-4b0d-b022-44b5463a4e5d"]},{"id":"ITEM-2","itemData":{"abstract":"Anthropogenic climate change is now in full swing, our global average temperature already having increased by 1°C from preindustrial levels. Many studies have documented individual impacts of the changing climate that are particular to species or regions, but individual impacts are accumulating and being amplified more broadly. Scheffers et al. review the set of impacts that have been observed across genes, species, and ecosystems to reveal a world already undergoing substantial change. Understanding the causes, consequences, and potential mitigation of these changes will be essential as we move forward into a warming world.Science, this issue p. 10.1126/science.aaf7671 BACKGROUNDClimate change impacts have now been documented across every ecosystem on Earth, despite an average warming of only ~1°C so far. Here, we describe the full range and scale of climate change effects on global biodiversity that have been observed in natural systems. To do this, we identify a set of core ecological processes (32 in terrestrial and 31 each in marine and freshwater ecosystems) that underpin ecosystem functioning and support services to people. Of the 94 processes considered, 82% show evidence of impact from climate change in the peer-reviewed literature. Examples of observed impacts from meta-analyses and case studies go beyond well-established shifts in species ranges and changes to phenology and population dynamics to include disruptions that scale from the gene to the ecosystem.ADVANCESSpecies are undergoing evolutionary adaptation to temperature extremes, and climate change has substantial impacts on species physiology that include changes in tolerances to high temperatures, shifts in sex ratios in species with temperature-dependent sex determination, and increased metabolic costs of living in a warmer world. These physiological adjustments have observable impacts on morphology, with many species in both aquatic and terrestrial systems shrinking in body size because large surface-to-volume ratios are generally favored under warmer conditions. Other morphological changes include reductions in melanism to improve thermoregulation, and altered wing and bill length in birds.Broader-scale responses to climate change include changes in the phenology, abundance, and distribution of species. Temperate plants are budding and flowering earlier in spring and later in autumn. Comparable adjustments have been observed in marine and freshwater fish spawning events and in the …","author":[{"dropping-particle":"","family":"Scheffers","given":"Brett R","non-dropping-particle":"","parse-names":false,"suffix":""},{"dropping-particle":"","family":"Meester","given":"Luc","non-dropping-particle":"De","parse-names":false,"suffix":""},{"dropping-particle":"","family":"Bridge","given":"Tom C L","non-dropping-particle":"","parse-names":false,"suffix":""},{"dropping-particle":"","family":"Hoffmann","given":"Ary A","non-dropping-particle":"","parse-names":false,"suffix":""},{"dropping-particle":"","family":"Pandolfi","given":"John M","non-dropping-particle":"","parse-names":false,"suffix":""},{"dropping-particle":"","family":"Corlett","given":"Richard T","non-dropping-particle":"","parse-names":false,"suffix":""},{"dropping-particle":"","family":"Butchart","given":"Stuart H M","non-dropping-particle":"","parse-names":false,"suffix":""},{"dropping-particle":"","family":"Pearce-Kelly","given":"Paul","non-dropping-particle":"","parse-names":false,"suffix":""},{"dropping-particle":"","family":"Kovacs","given":"Kit M","non-dropping-particle":"","parse-names":false,"suffix":""},{"dropping-particle":"","family":"Dudgeon","given":"David","non-dropping-particle":"","parse-names":false,"suffix":""},{"dropping-particle":"","family":"Pacifici","given":"Michela","non-dropping-particle":"","parse-names":false,"suffix":""},{"dropping-particle":"","family":"Rondinini","given":"Carlo","non-dropping-particle":"","parse-names":false,"suffix":""},{"dropping-particle":"","family":"Foden","given":"Wendy B","non-dropping-particle":"","parse-names":false,"suffix":""},{"dropping-particle":"","family":"Martin","given":"Tara G","non-dropping-particle":"","parse-names":false,"suffix":""},{"dropping-particle":"","family":"Mora","given":"Camilo","non-dropping-particle":"","parse-names":false,"suffix":""},{"dropping-particle":"","family":"Bickford","given":"David","non-dropping-particle":"","parse-names":false,"suffix":""},{"dropping-particle":"","family":"Watson","given":"James E M","non-dropping-particle":"","parse-names":false,"suffix":""}],"container-title":"Science","id":"ITEM-2","issue":"6313","issued":{"date-parts":[["2016"]]},"title":"The broad footprint of climate change from genes to biomes to people","type":"article-journal","volume":"354"},"uris":["http://www.mendeley.com/documents/?uuid=a1a84097-ae3b-4f82-8ac6-0bbd1f88e571"]},{"id":"ITEM-3","itemData":{"author":[{"dropping-particle":"","family":"Parmesan","given":"C","non-dropping-particle":"","parse-names":false,"suffix":""}],"container-title":"Annual Review of Ecology Evolution and Systematics","id":"ITEM-3","issued":{"date-parts":[["2006"]]},"page":"637-669","title":"Ecological and evolutionary responses to recent climate change","type":"article-journal","volume":"37"},"uris":["http://www.mendeley.com/documents/?uuid=7bcafc34-b583-4bc6-9793-d17038ebdd3c"]},{"id":"ITEM-4","itemData":{"author":[{"dropping-particle":"","family":"IPCC","given":"","non-dropping-particle":"","parse-names":false,"suffix":""}],"id":"ITEM-4","issued":{"date-parts":[["2014"]]},"publisher":"Cambridge University Press, Cambridge, UK","title":"Climate Change 2014: Impacts, Adaptation, and Vulnerability","type":"book"},"uris":["http://www.mendeley.com/documents/?uuid=e15c45af-33d2-419f-b4a1-802b53b6d7fa"]}],"mendeley":{"formattedCitation":"(&lt;i&gt;1&lt;/i&gt;–&lt;i&gt;4&lt;/i&gt;)","plainTextFormattedCitation":"(1–4)","previouslyFormattedCitation":"(&lt;i&gt;1&lt;/i&gt;–&lt;i&gt;4&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1</w:t>
      </w:r>
      <w:r w:rsidRPr="008E0C1D">
        <w:rPr>
          <w:noProof/>
          <w:color w:val="000000" w:themeColor="text1"/>
          <w:sz w:val="24"/>
          <w:szCs w:val="24"/>
          <w:lang w:val="en-GB"/>
        </w:rPr>
        <w:t>–</w:t>
      </w:r>
      <w:r w:rsidRPr="008E0C1D">
        <w:rPr>
          <w:i/>
          <w:noProof/>
          <w:color w:val="000000" w:themeColor="text1"/>
          <w:sz w:val="24"/>
          <w:szCs w:val="24"/>
          <w:lang w:val="en-GB"/>
        </w:rPr>
        <w:t>4</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Our knowledge and predictions about biotic responses to anthropogenic climate warming are largely based on air temperature data measured at official meteorological stations, which record free-air (macroclimate) temperature in open areas at 1.2 to 2 m above short grass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{"citationItems":[{"id":"ITEM-1","itemData":{"author":[{"dropping-particle":"","family":"WMO","given":"World Meteorological Organization","non-dropping-particle":"","parse-names":false,"suffix":""}],"id":"ITEM-1","issued":{"date-parts":[["2008"]]},"publisher-place":"WMO, Geneva, Switzerland.","title":"Guide to Meteorological Instruments and Methods of Observation","type":"patent"},"uris":["http://www.mendeley.com/documents/?uuid=cf5700ac-aa4a-42af-ad65-c7054e405290"]},{"id":"ITEM-2","itemData":{"DOI":"10.1126/science.1237190","ISBN":"0036-8075\\r1095-9203","ISSN":"1095-9203","PMID":"23908228","abstract":"As climates change across already stressed ecosystems, there is no doubt that species will be affected, but to what extent and which will be most vulnerable remain uncertain. The fossil record suggests that most species persisted through past climate change, whereas forecasts of future impacts predict large-scale range reduction and extinction. Many species have altered range limits and phenotypes through 20th-century climate change, but responses are highly variable. The proximate causes of species decline relative to resilience remain largely obscure; however, recent examples of climate-associated species decline can help guide current management in parallel with ongoing research.","author":[{"dropping-particle":"","family":"Moritz","given":"Craig","non-dropping-particle":"","parse-names":false,"suffix":""},{"dropping-particle":"","family":"Agudo","given":"Rosa","non-dropping-particle":"","parse-names":false,"suffix":""}],"container-title":"Science (New York, N.Y.)","id":"ITEM-2","issue":"6145","issued":{"date-parts":[["2013"]]},"page":"504-8","title":"The future of species under climate change: resilience or decline?","type":"article-journal","volume":"341"},"uris":["http://www.mendeley.com/documents/?uuid=4c09b806-03ef-435e-a602-79048d61caaa"]}],"mendeley":{"formattedCitation":"(&lt;i&gt;5&lt;/i&gt;, &lt;i&gt;6&lt;/i&gt;)","plainTextFormattedCitation":"(5, 6)","previouslyFormattedCitation":"(&lt;i&gt;5&lt;/i&gt;, &lt;i&gt;6&lt;/i&gt;)"},"properties":{"noteIndex":0},"schema":"https://github.com/citation-style-language/schema/raw/master/csl-citation.json"}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5</w:t>
      </w:r>
      <w:r w:rsidRPr="008E0C1D">
        <w:rPr>
          <w:noProof/>
          <w:color w:val="000000" w:themeColor="text1"/>
          <w:sz w:val="24"/>
          <w:szCs w:val="24"/>
          <w:lang w:val="en-GB"/>
        </w:rPr>
        <w:t xml:space="preserve">, </w:t>
      </w:r>
      <w:r w:rsidRPr="008E0C1D">
        <w:rPr>
          <w:i/>
          <w:noProof/>
          <w:color w:val="000000" w:themeColor="text1"/>
          <w:sz w:val="24"/>
          <w:szCs w:val="24"/>
          <w:lang w:val="en-GB"/>
        </w:rPr>
        <w:t>6</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w:t>
      </w:r>
      <w:r w:rsidRPr="008E0C1D">
        <w:rPr>
          <w:rFonts w:eastAsia="Times New Roman"/>
          <w:color w:val="000000" w:themeColor="text1"/>
          <w:sz w:val="24"/>
          <w:szCs w:val="24"/>
        </w:rPr>
        <w:t xml:space="preserve"> </w:t>
      </w:r>
      <w:r w:rsidR="004A67D2" w:rsidRPr="008E0C1D">
        <w:rPr>
          <w:rFonts w:eastAsia="Times New Roman"/>
          <w:color w:val="000000" w:themeColor="text1"/>
          <w:sz w:val="24"/>
          <w:szCs w:val="24"/>
        </w:rPr>
        <w:t xml:space="preserve">However, most organisms on Earth experience temperature conditions that </w:t>
      </w:r>
      <w:r w:rsidRPr="008E0C1D">
        <w:rPr>
          <w:rFonts w:eastAsia="Times New Roman"/>
          <w:color w:val="000000" w:themeColor="text1"/>
          <w:sz w:val="24"/>
          <w:szCs w:val="24"/>
        </w:rPr>
        <w:t>differ from the macroclimate, mainly because the topography and vegetation create heterogeneous microclimates near the ground via interception of solar radiation, air mixing and evapotranspiration</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{"citationItems":[{"id":"ITEM-1","itemData":{"author":[{"dropping-particle":"","family":"Geiger","given":"R","non-dropping-particle":"","parse-names":false,"suffix":""},{"dropping-particle":"","family":"Aron","given":"R H","non-dropping-particle":"","parse-names":false,"suffix":""},{"dropping-particle":"","family":"Todhunter","given":"P","non-dropping-particle":"","parse-names":false,"suffix":""}],"id":"ITEM-1","issued":{"date-parts":[["2003"]]},"publisher":"Rowman and Littlefield, Oxford","title":"The climate near the ground","type":"book"},"uris":["http://www.mendeley.com/documents/?uuid=8fd7c424-e825-44d9-89c5-bf845fb6b902"]},{"id":"ITEM-2","itemData":{"DOI":"10.1111/gcb.12257","ISSN":"1365-2486 (Electronic) 1354-1013 (Linking)","abstract":"Despite decades of work on climate change biology, the scientific community remains uncertain about where and when most species distributions will respond to altered climates. A major barrier is the spatial mismatch between the size of organisms and the scale at which climate data are collected and modeled. Using a meta-analysis of published literature, we show that grid lengths in species distribution models are, on average, ca. 10 000-fold larger than the animals they study, and ca. 1000-fold larger than the plants they study. And the gap is even worse than these ratios indicate, as most work has focused on organisms that are significantly biased toward large size. This mismatch is problematic because organisms do not experience climate on coarse scales. Rather, they live in microclimates, which can be highly heterogeneous and strongly divergent from surrounding macroclimates. Bridging the spatial gap should be a high priority for research and will require gathering climate data at finer scales, developing better methods for downscaling environmental data to microclimates, and improving our statistical understanding of variation at finer scales. Interdisciplinary collaborations (including ecologists, engineers, climatologists, meteorologists, statisticians, and geographers) will be key to bridging the gap, and ultimately to providing scientifically grounded data and recommendations to conservation biologists and policy makers.","author":[{"dropping-particle":"","family":"Potter","given":"K A","non-dropping-particle":"","parse-names":false,"suffix":""},{"dropping-particle":"","family":"Arthur Woods","given":"H","non-dropping-particle":"","parse-names":false,"suffix":""},{"dropping-particle":"","family":"Pincebourde","given":"S","non-dropping-particle":"","parse-names":false,"suffix":""}],"container-title":"Global Change Biology","id":"ITEM-2","issue":"10","issued":{"date-parts":[["2013"]]},"note":"Potter, Kristen A\nArthur Woods, H\nPincebourde, Sylvain\neng\nResearch Support, Non-U.S. Gov't\nResearch Support, U.S. Gov't, Non-P.H.S.\nEngland\n2013/05/18 06:00\nGlob Chang Biol. 2013 Oct;19(10):2932-9. doi: 10.1111/gcb.12257. Epub 2013 Aug 8.","page":"2932-2939","publisher-place":"Division of Biological Sciences, University of Montana, Missoula, MT, 59812, USA; School of Forestry, Northern Arizona University, Flagstaff, AZ, 86011, USA.","title":"Microclimatic challenges in global change biology","type":"article-journal","volume":"19"},"uris":["http://www.mendeley.com/documents/?uuid=cba35aee-35dd-4c98-997b-5194cada815d"]}],"mendeley":{"formattedCitation":"(&lt;i&gt;7&lt;/i&gt;, &lt;i&gt;8&lt;/i&gt;)","plainTextFormattedCitation":"(7, 8)","previouslyFormattedCitation":"(&lt;i&gt;7&lt;/i&gt;, &lt;i&gt;8&lt;/i&gt;)"},"properties":{"noteIndex":0},"schema":"https://github.com/citation-style-language/schema/raw/master/csl-citation.json"}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7</w:t>
      </w:r>
      <w:r w:rsidRPr="008E0C1D">
        <w:rPr>
          <w:noProof/>
          <w:color w:val="000000" w:themeColor="text1"/>
          <w:sz w:val="24"/>
          <w:szCs w:val="24"/>
          <w:lang w:val="en-GB"/>
        </w:rPr>
        <w:t xml:space="preserve">, </w:t>
      </w:r>
      <w:r w:rsidRPr="008E0C1D">
        <w:rPr>
          <w:i/>
          <w:noProof/>
          <w:color w:val="000000" w:themeColor="text1"/>
          <w:sz w:val="24"/>
          <w:szCs w:val="24"/>
          <w:lang w:val="en-GB"/>
        </w:rPr>
        <w:t>8</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Local microclimates may explain why responses of biological communities and ecosystem processes are often partially uncoupled from macroclimate warming</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{"citationItems":[{"id":"ITEM-1","itemData":{"DOI":"10.1126/science.1237190","ISBN":"0036-8075\\r1095-9203","ISSN":"1095-9203","PMID":"23908228","abstract":"As climates change across already stressed ecosystems, there is no doubt that species will be affected, but to what extent and which will be most vulnerable remain uncertain. The fossil record suggests that most species persisted through past climate change, whereas forecasts of future impacts predict large-scale range reduction and extinction. Many species have altered range limits and phenotypes through 20th-century climate change, but responses are highly variable. The proximate causes of species decline relative to resilience remain largely obscure; however, recent examples of climate-associated species decline can help guide current management in parallel with ongoing research.","author":[{"dropping-particle":"","family":"Moritz","given":"Craig","non-dropping-particle":"","parse-names":false,"suffix":""},{"dropping-particle":"","family":"Agudo","given":"Rosa","non-dropping-particle":"","parse-names":false,"suffix":""}],"container-title":"Science (New York, N.Y.)","id":"ITEM-1","issue":"6145","issued":{"date-parts":[["2013"]]},"page":"504-8","title":"The future of species under climate change: resilience or decline?","type":"article-journal","volume":"341"},"uris":["http://www.mendeley.com/documents/?uuid=4c09b806-03ef-435e-a602-79048d61caaa"]},{"id":"ITEM-2","itemData":{"author":[{"dropping-particle":"","family":"Frenne","given":"Pieter","non-dropping-particle":"De","parse-names":false,"suffix":""},{"dropping-particle":"","family":"Zellweger","given":"Florian","non-dropping-particle":"","parse-names":false,"suffix":""},{"dropping-particle":"","family":"Rodríguez-Sánchez","given":"Francisco","non-dropping-particle":"","parse-names":false,"suffix":""},{"dropping-particle":"","family":"Scheffers","given":"Brett","non-dropping-particle":"","parse-names":false,"suffix":""},{"dropping-particle":"","family":"Hylander","given":"Kristoffer","non-dropping-particle":"","parse-names":false,"suffix":""},{"dropping-particle":"","family":"Luoto","given":"Miska","non-dropping-particle":"","parse-names":false,"suffix":""},{"dropping-particle":"","family":"Vellend","given":"Mark","non-dropping-particle":"","parse-names":false,"suffix":""},{"dropping-particle":"","family":"Verheyen","given":"Kris","non-dropping-particle":"","parse-names":false,"suffix":""},{"dropping-particle":"","family":"Lenoir","given":"Jonathan","non-dropping-particle":"","parse-names":false,"suffix":""}],"container-title":"Nature Ecology &amp; Evolution","id":"ITEM-2","issued":{"date-parts":[["2019"]]},"page":"744-749","title":"Global buffering of temperatures under forest canopies","type":"article-journal","volume":"3"},"uris":["http://www.mendeley.com/documents/?uuid=8e22fe5a-d708-4db1-bed2-c26b11b016cc"]},{"id":"ITEM-3","itemData":{"DOI":"10.1038/nature10548","ISSN":"1476-4687 (Electronic) 0028-0836 (Linking)","abstract":"Climate change is driving latitudinal and altitudinal shifts in species distribution worldwide, leading to novel species assemblages. Lags between these biotic responses and contemporary climate changes have been reported for plants and animals. Theoretically, the magnitude of these lags should be greatest in lowland areas, where the velocity of climate change is expected to be much greater than that in highland areas. We compared temperature trends to temperatures reconstructed from plant assemblages (observed in 76,634 surveys) over a 44-year period in France (1965-2008). Here we report that forest plant communities had responded to 0.54 degrees C of the effective increase of 1.07 degrees C in highland areas (500-2,600 m above sea level), while they had responded to only 0.02 degrees C of the 1.11 degrees C warming trend in lowland areas. There was a larger temperature lag (by 3.1 times) between the climate and plant community composition in lowland forests than in highland forests. The explanation of such disparity lies in the following properties of lowland, as compared to highland, forests: the higher proportion of species with greater ability for local persistence as the climate warms, the reduced opportunity for short-distance escapes, and the greater habitat fragmentation. Although mountains are currently considered to be among the ecosystems most threatened by climate change (owing to mountaintop extinction), the current inertia of plant communities in lowland forests should also be noted, as it could lead to lowland biotic attrition.","author":[{"dropping-particle":"","family":"Bertrand","given":"R","non-dropping-particle":"","parse-names":false,"suffix":""},{"dropping-particle":"","family":"Lenoir","given":"J","non-dropping-particle":"","parse-names":false,"suffix":""},{"dropping-particle":"","family":"Piedallu","given":"C","non-dropping-particle":"","parse-names":false,"suffix":""},{"dropping-particle":"","family":"Riofrio-Dillon","given":"G","non-dropping-particle":"","parse-names":false,"suffix":""},{"dropping-particle":"","family":"Ruffray","given":"P","non-dropping-particle":"de","parse-names":false,"suffix":""},{"dropping-particle":"","family":"Vidal","given":"C","non-dropping-particle":"","parse-names":false,"suffix":""},{"dropping-particle":"","family":"Pierrat","given":"J C","non-dropping-particle":"","parse-names":false,"suffix":""},{"dropping-particle":"","family":"Gegout","given":"J C","non-dropping-particle":"","parse-names":false,"suffix":""}],"container-title":"Nature","id":"ITEM-3","issue":"7374","issued":{"date-parts":[["2011"]]},"note":"Bertrand, Romain\nLenoir, Jonathan\nPiedallu, Christian\nRiofrio-Dillon, Gabriela\nde Ruffray, Patrice\nVidal, Claude\nPierrat, Jean-Claude\nGegout, Jean-Claude\neng\nHistorical Article\nResearch Support, Non-U.S. Gov't\nEngland\n2011/10/21 06:00\nNature. 2011 Oct 19;479(7374):517-20. doi: 10.1038/nature10548.","page":"517-520","publisher-place":"AgroParisTech, ENGREF, UMR1092 Laboratoire d'Etude des Ressources Foret-Bois (LERFoB), 14 rue Girardet, F-54000 Nancy, France. romain.bertrand@engref.agroparistech.fr","title":"Changes in plant community composition lag behind climate warming in lowland forests","type":"article-journal","volume":"479"},"uris":["http://www.mendeley.com/documents/?uuid=a87d5a07-e5d6-459a-849d-d613b3624dde"]},{"id":"ITEM-4","itemData":{"DOI":"10.1111/gcb.13976","ISBN":"0000000154871","ISSN":"13652486","PMID":"27935037","abstract":"Rapid climatic changes and increasing human influence at high elevations around the world will have profound impacts on mountain biodiversity. However, forecasts from statistical models (e.g. species distribution models) rarely consider that plant community changes could substantially lag behind climatic changes, hindering our ability to make temporally realistic projections for the coming century. Indeed, the magnitudes of lags, and the relative importance of the different factors giving rise to them, remain poorly understood. We review evidence for three types of lag: “dispersal lags” affecting plant species’ spread along elevational gradients, “establishment lags” following their arrival in recipient communities, and “extinction lags” of resident species. Variation in lags is explained by variation among species in physiological and demographic responses, by effects of altered biotic interactions, and by aspects of the physical environment. Of these, altered biotic interactions could contribute substantially to establishment and extinction lags, yet impacts of biotic interactions on range dynamics are poorly understood. We develop a mechanistic community model to illustrate how species turnover in future communities might lag behind simple expectations based on species’ range shifts with unlimited dispersal. The model shows a combined contribution of altered biotic interactions and dispersal lags to plant community turnover along an elevational gradient following climate warming. Our review and simulation support the view that accounting for disequilibrium range dynamics will be essential for realistic forecasts of patterns of biodiversity under climate change, with implications for the conservation of mountain species and the ecosystem functions they provide.","author":[{"dropping-particle":"","family":"Alexander","given":"Jake M.","non-dropping-particle":"","parse-names":false,"suffix":""},{"dropping-particle":"","family":"Chalmandrier","given":"Loïc","non-dropping-particle":"","parse-names":false,"suffix":""},{"dropping-particle":"","family":"Lenoir","given":"Jonathan","non-dropping-particle":"","parse-names":false,"suffix":""},{"dropping-particle":"","family":"Burgess","given":"Treena I.","non-dropping-particle":"","parse-names":false,"suffix":""},{"dropping-particle":"","family":"Essl","given":"Franz","non-dropping-particle":"","parse-names":false,"suffix":""},{"dropping-particle":"","family":"Haider","given":"Sylvia","non-dropping-particle":"","parse-names":false,"suffix":""},{"dropping-particle":"","family":"Kueffer","given":"Christoph","non-dropping-particle":"","parse-names":false,"suffix":""},{"dropping-particle":"","family":"McDougall","given":"Keith","non-dropping-particle":"","parse-names":false,"suffix":""},{"dropping-particle":"","family":"Milbau","given":"Ann","non-dropping-particle":"","parse-names":false,"suffix":""},{"dropping-particle":"","family":"Nuñez","given":"Martin A.","non-dropping-particle":"","parse-names":false,"suffix":""},{"dropping-particle":"","family":"Pauchard","given":"Aníbal","non-dropping-particle":"","parse-names":false,"suffix":""},{"dropping-particle":"","family":"Rabitsch","given":"Wolfgang","non-dropping-particle":"","parse-names":false,"suffix":""},{"dropping-particle":"","family":"Rew","given":"Lisa J.","non-dropping-particle":"","parse-names":false,"suffix":""},{"dropping-particle":"","family":"Sanders","given":"Nathan J.","non-dropping-particle":"","parse-names":false,"suffix":""},{"dropping-particle":"","family":"Pellissier","given":"Loïc","non-dropping-particle":"","parse-names":false,"suffix":""}],"container-title":"Global Change Biology","id":"ITEM-4","issue":"2","issued":{"date-parts":[["2018"]]},"page":"563-579","title":"Lags in the response of mountain plant communities to climate change","type":"article-journal","volume":"24"},"uris":["http://www.mendeley.com/documents/?uuid=933fcef6-8c32-4af1-b1c3-aa165670a27c"]},{"id":"ITEM-5","itemData":{"DOI":"10.1038/s41586-018-0715-9","ISSN":"0028-0836","abstract":"Global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J.","non-dropping-particle":"","parse-names":false,"suffix":""}],"container-title":"Nature","id":"ITEM-5","issued":{"date-parts":[["2018"]]},"page":"207-212","title":"Widespread but heterogeneous responses of Andean forests to climate change","type":"article-journal","volume":"564"},"uris":["http://www.mendeley.com/documents/?uuid=e6257b7d-4e8d-420d-97c0-5fa102877df9"]},{"id":"ITEM-6","itemData":{"DOI":"10.1038/nclimate1347","ISSN":"1758-678X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Change","id":"ITEM-6","issue":"2","issued":{"date-parts":[["2012"]]},"page":"121-124","title":"Differences in the climatic debts of birds and butterflies at a continental scale","type":"article-journal","volume":"2"},"uris":["http://www.mendeley.com/documents/?uuid=d4b4f2cc-358a-473b-8a16-0667af85637b"]},{"id":"ITEM-7","itemData":{"DOI":"10.1073/pnas.1311190110","ISSN":"1091-6490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Sciences","id":"ITEM-7","issue":"46","issued":{"date-parts":[["2013"]]},"note":"De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warming","type":"article-journal","volume":"110"},"uris":["http://www.mendeley.com/documents/?uuid=c5cd6296-0009-481e-a850-31476cea3e9e"]}],"mendeley":{"formattedCitation":"(&lt;i&gt;6&lt;/i&gt;, &lt;i&gt;9&lt;/i&gt;–&lt;i&gt;14&lt;/i&gt;)","plainTextFormattedCitation":"(6, 9–14)","previouslyFormattedCitation":"(&lt;i&gt;6&lt;/i&gt;, &lt;i&gt;9&lt;/i&gt;–&lt;i&gt;14&lt;/i&gt;)"},"properties":{"noteIndex":0},"schema":"https://github.com/citation-style-language/schema/raw/master/csl-citation.json"}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6</w:t>
      </w:r>
      <w:r w:rsidR="004549C6" w:rsidRPr="008E0C1D">
        <w:rPr>
          <w:noProof/>
          <w:color w:val="000000" w:themeColor="text1"/>
          <w:sz w:val="24"/>
          <w:szCs w:val="24"/>
          <w:lang w:val="en-GB"/>
        </w:rPr>
        <w:t xml:space="preserve">, </w:t>
      </w:r>
      <w:r w:rsidR="004549C6" w:rsidRPr="008E0C1D">
        <w:rPr>
          <w:i/>
          <w:noProof/>
          <w:color w:val="000000" w:themeColor="text1"/>
          <w:sz w:val="24"/>
          <w:szCs w:val="24"/>
          <w:lang w:val="en-GB"/>
        </w:rPr>
        <w:t>9</w:t>
      </w:r>
      <w:r w:rsidR="004549C6" w:rsidRPr="008E0C1D">
        <w:rPr>
          <w:noProof/>
          <w:color w:val="000000" w:themeColor="text1"/>
          <w:sz w:val="24"/>
          <w:szCs w:val="24"/>
          <w:lang w:val="en-GB"/>
        </w:rPr>
        <w:t>–</w:t>
      </w:r>
      <w:r w:rsidR="004549C6" w:rsidRPr="008E0C1D">
        <w:rPr>
          <w:i/>
          <w:noProof/>
          <w:color w:val="000000" w:themeColor="text1"/>
          <w:sz w:val="24"/>
          <w:szCs w:val="24"/>
          <w:lang w:val="en-GB"/>
        </w:rPr>
        <w:t>14</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w:t>
      </w:r>
    </w:p>
    <w:p w14:paraId="78309855" w14:textId="3D92429F"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Range shifts towards higher latitudes and elevations are now commonly observed for many species and systems</w:t>
      </w:r>
      <w:r w:rsidRPr="008E0C1D">
        <w:rPr>
          <w:color w:val="000000" w:themeColor="text1"/>
          <w:sz w:val="24"/>
          <w:szCs w:val="24"/>
          <w:lang w:val="en-GB"/>
        </w:rPr>
        <w:t>,</w:t>
      </w:r>
      <w:r w:rsidRPr="008E0C1D">
        <w:rPr>
          <w:rFonts w:eastAsia="Times New Roman"/>
          <w:color w:val="000000" w:themeColor="text1"/>
          <w:sz w:val="24"/>
          <w:szCs w:val="24"/>
        </w:rPr>
        <w:t xml:space="preserve"> as organisms shift their geographical distributions in order to track their thermal requirements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{"citationItems":[{"id":"ITEM-1","itemData":{"DOI":"10.1111/ecog.00967","ISSN":"1600-0587","author":[{"dropping-particle":"","family":"Lenoir","given":"J","non-dropping-particle":"","parse-names":false,"suffix":""},{"dropping-particle":"","family":"Svenning","given":"J C","non-dropping-particle":"","parse-names":false,"suffix":""}],"container-title":"Ecography","id":"ITEM-1","issue":"1","issued":{"date-parts":[["2015"]]},"page":"15-28","title":"Climate-related range shifts – a global multidimensional synthesis and new research directions","type":"article-journal","volume":"38"},"uris":["http://www.mendeley.com/documents/?uuid=4a26f4c2-e494-4030-be0c-f3a41e771a27"]}],"mendeley":{"formattedCitation":"(&lt;i&gt;15&lt;/i&gt;)","plainTextFormattedCitation":"(15)","previouslyFormattedCitation":"(&lt;i&gt;15&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15</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With rising temperatures at a location, the presence or abundance of species adapted to higher temperatures is therefore expected to increase, whereas species adapted to lower temperatures may decline and eventually become excluded. Such directional shifts in community composition in favour of warm-affinity species are referred to as “thermophilisation”, a phenomenon that is increasingly documented in terrestrial and marine plants and animals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J.","non-dropping-particle":"","parse-names":false,"suffix":""}],"container-title":"Nature","id":"ITEM-1","issued":{"date-parts":[["2018"]]},"page":"207-212","title":"Widespread but heterogeneous responses of Andean forests to climate change","type":"article-journal","volume":"564"},"uris":["http://www.mendeley.com/documents/?uuid=e6257b7d-4e8d-420d-97c0-5fa102877df9"]},{"id":"ITEM-2","itemData":{"DOI":"10.1038/nclimate1347","ISSN":"1758-678X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Change","id":"ITEM-2","issue":"2","issued":{"date-parts":[["2012"]]},"page":"121-124","title":"Differences in the climatic debts of birds and butterflies at a continental scale","type":"article-journal","volume":"2"},"uris":["http://www.mendeley.com/documents/?uuid=d4b4f2cc-358a-473b-8a16-0667af85637b"]},{"id":"ITEM-3","itemData":{"DOI":"10.1073/pnas.1311190110","ISSN":"1091-6490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Sciences","id":"ITEM-3","issue":"46","issued":{"date-parts":[["2013"]]},"note":"De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warming","type":"article-journal","volume":"110"},"uris":["http://www.mendeley.com/documents/?uuid=c5cd6296-0009-481e-a850-31476cea3e9e"]},{"id":"ITEM-4","itemData":{"DOI":"10.1038/nature16144","ISSN":"14764687","abstract":"A critical assumption underlying projections of biodiversity change associated with global warming is that ecological communities comprise balanced mixes of warm-affinity and cool-affinity species which, on average, approximate local environmental temperatures. Nevertheless, here we find that most shallow water marine species occupy broad thermal distributions that are aggregated in either temperate or tropical realms. These distributional trends result in oceanscale spatial thermal biases, where communities are dominated by species with warmer or cooler affinity than local environmental temperatures. We use community-level thermal deviations from local temperatures as a form of sensitivity to warming, and combine these with projected ocean warming data to predict warming-related loss of species from present-day communities over the next century. Large changes in local species composition appear likely, and proximity to thermal limits, as inferred from present-day species’ distributional ranges, outweighs spatial variation in warming rates in contributing to predicted rates of local species loss.","author":[{"dropping-particle":"","family":"Stuart-Smith","given":"Rick D.","non-dropping-particle":"","parse-names":false,"suffix":""},{"dropping-particle":"","family":"Edgar","given":"Graham J.","non-dropping-particle":"","parse-names":false,"suffix":""},{"dropping-particle":"","family":"Barrett","given":"Neville S.","non-dropping-particle":"","parse-names":false,"suffix":""},{"dropping-particle":"","family":"Kininmonth","given":"Stuart J.","non-dropping-particle":"","parse-names":false,"suffix":""},{"dropping-particle":"","family":"Bates","given":"Amanda E.","non-dropping-particle":"","parse-names":false,"suffix":""}],"container-title":"Nature","id":"ITEM-4","issue":"7580","issued":{"date-parts":[["2015"]]},"page":"88-92","title":"Thermal biases and vulnerability to warming in the world € s marine fauna","type":"article-journal","volume":"528"},"uris":["http://www.mendeley.com/documents/?uuid=f9337462-a530-4f10-a5ad-7a96d4f9d69c"]},{"id":"ITEM-5","itemData":{"DOI":"10.1038/nclimate1329","ISSN":"1758678X","abstract":"Climate impact studies have indicated ecological fingerprints of recent global warming across a wide range of habitats1, 2. Although these studies have shown responses from various local case studies, a coherent large-scale account on temperature-driven changes of biotic communities has been lacking3, 4.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change5, 6 the observed transformation suggests a progressive decline of cold mountain habitats and their biota.","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Change","id":"ITEM-5","issue":"2","issued":{"date-parts":[["2012"]]},"page":"111-115","title":"Continent-wide response of mountain vegetation to climate change","type":"article-journal","volume":"2"},"uris":["http://www.mendeley.com/documents/?uuid=b9ed35d7-695c-49e5-81db-d164447db4f4"]}],"mendeley":{"formattedCitation":"(&lt;i&gt;12&lt;/i&gt;–&lt;i&gt;14&lt;/i&gt;, &lt;i&gt;16&lt;/i&gt;, &lt;i&gt;17&lt;/i&gt;)","plainTextFormattedCitation":"(12–14, 16, 17)","previouslyFormattedCitation":"(&lt;i&gt;12&lt;/i&gt;–&lt;i&gt;14&lt;/i&gt;, &lt;i&gt;16&lt;/i&gt;, &lt;i&gt;17&lt;/i&gt;)"},"properties":{"noteIndex":0},"schema":"https://github.com/citation-style-language/schema/raw/master/csl-citation.json"}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rPr>
        <w:t>(</w:t>
      </w:r>
      <w:r w:rsidR="004549C6" w:rsidRPr="008E0C1D">
        <w:rPr>
          <w:i/>
          <w:noProof/>
          <w:color w:val="000000" w:themeColor="text1"/>
          <w:sz w:val="24"/>
          <w:szCs w:val="24"/>
        </w:rPr>
        <w:t>12</w:t>
      </w:r>
      <w:r w:rsidR="004549C6" w:rsidRPr="008E0C1D">
        <w:rPr>
          <w:noProof/>
          <w:color w:val="000000" w:themeColor="text1"/>
          <w:sz w:val="24"/>
          <w:szCs w:val="24"/>
        </w:rPr>
        <w:t>–</w:t>
      </w:r>
      <w:r w:rsidR="004549C6" w:rsidRPr="008E0C1D">
        <w:rPr>
          <w:i/>
          <w:noProof/>
          <w:color w:val="000000" w:themeColor="text1"/>
          <w:sz w:val="24"/>
          <w:szCs w:val="24"/>
        </w:rPr>
        <w:t>14</w:t>
      </w:r>
      <w:r w:rsidR="004549C6" w:rsidRPr="008E0C1D">
        <w:rPr>
          <w:noProof/>
          <w:color w:val="000000" w:themeColor="text1"/>
          <w:sz w:val="24"/>
          <w:szCs w:val="24"/>
        </w:rPr>
        <w:t xml:space="preserve">, </w:t>
      </w:r>
      <w:r w:rsidR="004549C6" w:rsidRPr="008E0C1D">
        <w:rPr>
          <w:i/>
          <w:noProof/>
          <w:color w:val="000000" w:themeColor="text1"/>
          <w:sz w:val="24"/>
          <w:szCs w:val="24"/>
        </w:rPr>
        <w:t>16</w:t>
      </w:r>
      <w:r w:rsidR="004549C6" w:rsidRPr="008E0C1D">
        <w:rPr>
          <w:noProof/>
          <w:color w:val="000000" w:themeColor="text1"/>
          <w:sz w:val="24"/>
          <w:szCs w:val="24"/>
        </w:rPr>
        <w:t xml:space="preserve">, </w:t>
      </w:r>
      <w:r w:rsidR="004549C6" w:rsidRPr="008E0C1D">
        <w:rPr>
          <w:i/>
          <w:noProof/>
          <w:color w:val="000000" w:themeColor="text1"/>
          <w:sz w:val="24"/>
          <w:szCs w:val="24"/>
        </w:rPr>
        <w:t>17</w:t>
      </w:r>
      <w:r w:rsidR="004549C6" w:rsidRPr="008E0C1D">
        <w:rPr>
          <w:noProof/>
          <w:color w:val="000000" w:themeColor="text1"/>
          <w:sz w:val="24"/>
          <w:szCs w:val="24"/>
        </w:rPr>
        <w:t>)</w:t>
      </w:r>
      <w:r w:rsidRPr="008E0C1D">
        <w:rPr>
          <w:color w:val="000000" w:themeColor="text1"/>
          <w:sz w:val="24"/>
          <w:szCs w:val="24"/>
          <w:lang w:val="en-GB"/>
        </w:rPr>
        <w:fldChar w:fldCharType="end"/>
      </w:r>
      <w:r w:rsidRPr="008E0C1D">
        <w:rPr>
          <w:rFonts w:eastAsia="Times New Roman"/>
          <w:color w:val="000000" w:themeColor="text1"/>
          <w:sz w:val="24"/>
          <w:szCs w:val="24"/>
        </w:rPr>
        <w:t>. Yet, the thermophilisation rate of many biological communities is not keeping pace with the velocity of contemporary macroclimate change</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Pr="008E0C1D">
        <w:rPr>
          <w:rFonts w:eastAsia="Times New Roman"/>
          <w:color w:val="000000" w:themeColor="text1"/>
          <w:sz w:val="24"/>
          <w:szCs w:val="24"/>
        </w:rPr>
        <w:instrText>ADDIN CSL_CITATION {"citationItems":[{"id":"ITEM-1","itemData":{"DOI":"10.1038/nature08649","ISSN":"1476-4687 (Electronic) 0028-0836 (Linking)","abstract":"The ranges of plants and animals are moving in response to recent changes in climate. As temperatures rise, ecosystems with 'nowhere to go', such as mountains, are considered to be more threatened. However, species survival may depend as much on keeping pace with moving climates as the climate's ultimate persistence. Here we present a new index of the velocity of temperature change (km yr(-1)), derived from spatial gradients ( degrees C km(-1)) and multimodel ensemble forecasts of rates of temperature increase ( degrees C yr(-1)) in the twenty-first century. This index represents the instantaneous local velocity along Earth's surface needed to maintain constant temperatures, and has a global mean of 0.42 km yr(-1) (A1B emission scenario). Owing to topographic effects, the velocity of temperature change is lowest in mountainous biomes such as tropical and subtropical coniferous forests (0.08 km yr(-1)), temperate coniferous forest, and montane grasslands. Velocities are highest in flooded grasslands (1.26 km yr(-1)), mangroves and deserts. High velocities suggest that the climates of only 8% of global protected areas have residence times exceeding 100 years. Small protected areas exacerbate the problem in Mediterranean-type and temperate coniferous forest biomes. Large protected areas may mitigate the problem in desert biomes. These results indicate management strategies for minimizing biodiversity loss from climate change. Montane landscapes may effectively shelter many species into the next century. Elsewhere, reduced emissions, a much expanded network of protected areas, or efforts to increase species movement may be necessary.","author":[{"dropping-particle":"","family":"Loarie","given":"S R","non-dropping-particle":"","parse-names":false,"suffix":""},{"dropping-particle":"","family":"Duffy","given":"P B","non-dropping-particle":"","parse-names":false,"suffix":""},{"dropping-particle":"","family":"Hamilton","given":"H","non-dropping-particle":"","parse-names":false,"suffix":""},{"dropping-particle":"","family":"Asner","given":"G P","non-dropping-particle":"","parse-names":false,"suffix":""},{"dropping-particle":"","family":"Field","given":"C B","non-dropping-particle":"","parse-names":false,"suffix":""},{"dropping-particle":"","family":"Ackerly","given":"D D","non-dropping-particle":"","parse-names":false,"suffix":""}],"container-title":"Nature","id":"ITEM-1","issue":"7276","issued":{"date-parts":[["2009"]]},"note":"Loarie, Scott R\nDuffy, Philip B\nHamilton, Healy\nAsner, Gregory P\nField, Christopher B\nAckerly, David D\neng\nResearch Support, Non-U.S. Gov't\nEngland\n2009/12/25 06:00\nNature. 2009 Dec 24;462(7276):1052-5. doi: 10.1038/nature08649.","page":"1052-1055","publisher-place":"Carnegie Institution for Science, Department of Global Ecology, Stanford, California 94305, USA. loarie@stanford.edu","title":"The velocity of climate change","type":"article-journal","volume":"462"},"uris":["http://www.mendeley.com/documents/?uuid=99a99592-b924-4768-896c-779330b72e34"]},{"id":"ITEM-2","itemData":{"DOI":"10.1126/science.1210288","abstract":"Climate change challenges organisms to adapt or move to track changes in environments in space and time. We used two measures of thermal shifts from analyses of global temperatures over the past 50 years to describe the pace of climate change that species should track: the velocity of climate change (geographic shifts of isotherms over time) and the shift in seasonal timing of temperatures. Both measures are higher in the ocean than on land at some latitudes, despite slower ocean warming. These indices give a complex mosaic of predicted range shifts and phenology changes that deviate from simple poleward migration and earlier springs or later falls. They also emphasize potential conservation concerns, because areas of high marine biodiversity often have greater velocities of climate change and seasonal shifts.","author":[{"dropping-particle":"","family":"Burrows","given":"Michael T","non-dropping-particle":"","parse-names":false,"suffix":""},{"dropping-particle":"","family":"Schoeman","given":"David S","non-dropping-particle":"","parse-names":false,"suffix":""},{"dropping-particle":"","family":"Buckley","given":"Lauren B","non-dropping-particle":"","parse-names":false,"suffix":""},{"dropping-particle":"","family":"Moore","given":"Pippa","non-dropping-particle":"","parse-names":false,"suffix":""},{"dropping-particle":"","family":"Poloczanska","given":"Elvira S","non-dropping-particle":"","parse-names":false,"suffix":""},{"dropping-particle":"","family":"Brander","given":"Keith M","non-dropping-particle":"","parse-names":false,"suffix":""},{"dropping-particle":"","family":"Brown","given":"Chris","non-dropping-particle":"","parse-names":false,"suffix":""},{"dropping-particle":"","family":"Bruno","given":"John F","non-dropping-particle":"","parse-names":false,"suffix":""},{"dropping-particle":"","family":"Duarte","given":"Carlos M","non-dropping-particle":"","parse-names":false,"suffix":""},{"dropping-particle":"","family":"Halpern","given":"Benjamin S","non-dropping-particle":"","parse-names":false,"suffix":""},{"dropping-particle":"","family":"Holding","given":"Johnna","non-dropping-particle":"","parse-names":false,"suffix":""},{"dropping-particle":"V","family":"Kappel","given":"Carrie","non-dropping-particle":"","parse-names":false,"suffix":""},{"dropping-particle":"","family":"Kiessling","given":"Wolfgang","non-dropping-particle":"","parse-names":false,"suffix":""},{"dropping-particle":"","family":"O’Connor","given":"Mary I","non-dropping-particle":"","parse-names":false,"suffix":""},{"dropping-particle":"","family":"Pandolfi","given":"John M","non-dropping-particle":"","parse-names":false,"suffix":""},{"dropping-particle":"","family":"Parmesan","given":"Camille","non-dropping-particle":"","parse-names":false,"suffix":""},{"dropping-particle":"","family":"Schwing","given":"Franklin B","non-dropping-particle":"","parse-names":false,"suffix":""},{"dropping-particle":"","family":"Sydeman","given":"William J","non-dropping-particle":"","parse-names":false,"suffix":""},{"dropping-particle":"","family":"Richardson","given":"Anthony J","non-dropping-particle":"","parse-names":false,"suffix":""}],"container-title":"Science","id":"ITEM-2","issue":"6056","issued":{"date-parts":[["2011"]]},"page":"652-655","title":"The Pace of Shifting Climate in Marine and Terrestrial Ecosystems","type":"article-journal","volume":"334"},"uris":["http://www.mendeley.com/documents/?uuid=17e6bbe2-abb4-4d46-a3ba-7e0b881e1adb"]}],"mendeley":{"formattedCitation":"(&lt;i&gt;18&lt;/i&gt;, &lt;i&gt;19&lt;/i&gt;)","plainTextFormattedCitation":"(18, 19)","previouslyFormattedCitation":"(&lt;i&gt;18&lt;/i&gt;, &lt;i&gt;19&lt;/i&gt;)"},"properties":{"noteIndex":0},"schema":"https://github.com/citation-style-language/schema/raw/master/csl-citation.json"}</w:instrText>
      </w:r>
      <w:r w:rsidRPr="008E0C1D">
        <w:rPr>
          <w:rFonts w:eastAsia="Times New Roman"/>
          <w:color w:val="000000" w:themeColor="text1"/>
          <w:sz w:val="24"/>
          <w:szCs w:val="24"/>
        </w:rPr>
        <w:fldChar w:fldCharType="separate"/>
      </w:r>
      <w:r w:rsidRPr="008E0C1D">
        <w:rPr>
          <w:rFonts w:eastAsia="Times New Roman"/>
          <w:noProof/>
          <w:color w:val="000000" w:themeColor="text1"/>
          <w:sz w:val="24"/>
          <w:szCs w:val="24"/>
        </w:rPr>
        <w:t>(</w:t>
      </w:r>
      <w:r w:rsidRPr="008E0C1D">
        <w:rPr>
          <w:rFonts w:eastAsia="Times New Roman"/>
          <w:i/>
          <w:noProof/>
          <w:color w:val="000000" w:themeColor="text1"/>
          <w:sz w:val="24"/>
          <w:szCs w:val="24"/>
        </w:rPr>
        <w:t>18</w:t>
      </w:r>
      <w:r w:rsidRPr="008E0C1D">
        <w:rPr>
          <w:rFonts w:eastAsia="Times New Roman"/>
          <w:noProof/>
          <w:color w:val="000000" w:themeColor="text1"/>
          <w:sz w:val="24"/>
          <w:szCs w:val="24"/>
        </w:rPr>
        <w:t xml:space="preserve">, </w:t>
      </w:r>
      <w:r w:rsidRPr="008E0C1D">
        <w:rPr>
          <w:rFonts w:eastAsia="Times New Roman"/>
          <w:i/>
          <w:noProof/>
          <w:color w:val="000000" w:themeColor="text1"/>
          <w:sz w:val="24"/>
          <w:szCs w:val="24"/>
        </w:rPr>
        <w:t>19</w:t>
      </w:r>
      <w:r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Pr="008E0C1D">
        <w:rPr>
          <w:rFonts w:eastAsia="Times New Roman"/>
          <w:color w:val="000000" w:themeColor="text1"/>
          <w:sz w:val="24"/>
          <w:szCs w:val="24"/>
        </w:rPr>
        <w:t xml:space="preserve">, leading to a climatic </w:t>
      </w:r>
      <w:r w:rsidR="009B3FFE" w:rsidRPr="008E0C1D">
        <w:rPr>
          <w:rFonts w:eastAsia="Times New Roman"/>
          <w:color w:val="000000" w:themeColor="text1"/>
          <w:sz w:val="24"/>
          <w:szCs w:val="24"/>
        </w:rPr>
        <w:t xml:space="preserve">lag or </w:t>
      </w:r>
      <w:r w:rsidRPr="008E0C1D">
        <w:rPr>
          <w:rFonts w:eastAsia="Times New Roman"/>
          <w:color w:val="000000" w:themeColor="text1"/>
          <w:sz w:val="24"/>
          <w:szCs w:val="24"/>
        </w:rPr>
        <w:t>debt in community responses to macroclimate warming</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{"citationItems":[{"id":"ITEM-1","itemData":{"DOI":"10.1111/gcb.13976","ISBN":"0000000154871","ISSN":"13652486","PMID":"27935037","abstract":"Rapid climatic changes and increasing human influence at high elevations around the world will have profound impacts on mountain biodiversity. However, forecasts from statistical models (e.g. species distribution models) rarely consider that plant community changes could substantially lag behind climatic changes, hindering our ability to make temporally realistic projections for the coming century. Indeed, the magnitudes of lags, and the relative importance of the different factors giving rise to them, remain poorly understood. We review evidence for three types of lag: “dispersal lags” affecting plant species’ spread along elevational gradients, “establishment lags” following their arrival in recipient communities, and “extinction lags” of resident species. Variation in lags is explained by variation among species in physiological and demographic responses, by effects of altered biotic interactions, and by aspects of the physical environment. Of these, altered biotic interactions could contribute substantially to establishment and extinction lags, yet impacts of biotic interactions on range dynamics are poorly understood. We develop a mechanistic community model to illustrate how species turnover in future communities might lag behind simple expectations based on species’ range shifts with unlimited dispersal. The model shows a combined contribution of altered biotic interactions and dispersal lags to plant community turnover along an elevational gradient following climate warming. Our review and simulation support the view that accounting for disequilibrium range dynamics will be essential for realistic forecasts of patterns of biodiversity under climate change, with implications for the conservation of mountain species and the ecosystem functions they provide.","author":[{"dropping-particle":"","family":"Alexander","given":"Jake M.","non-dropping-particle":"","parse-names":false,"suffix":""},{"dropping-particle":"","family":"Chalmandrier","given":"Loïc","non-dropping-particle":"","parse-names":false,"suffix":""},{"dropping-particle":"","family":"Lenoir","given":"Jonathan","non-dropping-particle":"","parse-names":false,"suffix":""},{"dropping-particle":"","family":"Burgess","given":"Treena I.","non-dropping-particle":"","parse-names":false,"suffix":""},{"dropping-particle":"","family":"Essl","given":"Franz","non-dropping-particle":"","parse-names":false,"suffix":""},{"dropping-particle":"","family":"Haider","given":"Sylvia","non-dropping-particle":"","parse-names":false,"suffix":""},{"dropping-particle":"","family":"Kueffer","given":"Christoph","non-dropping-particle":"","parse-names":false,"suffix":""},{"dropping-particle":"","family":"McDougall","given":"Keith","non-dropping-particle":"","parse-names":false,"suffix":""},{"dropping-particle":"","family":"Milbau","given":"Ann","non-dropping-particle":"","parse-names":false,"suffix":""},{"dropping-particle":"","family":"Nuñez","given":"Martin A.","non-dropping-particle":"","parse-names":false,"suffix":""},{"dropping-particle":"","family":"Pauchard","given":"Aníbal","non-dropping-particle":"","parse-names":false,"suffix":""},{"dropping-particle":"","family":"Rabitsch","given":"Wolfgang","non-dropping-particle":"","parse-names":false,"suffix":""},{"dropping-particle":"","family":"Rew","given":"Lisa J.","non-dropping-particle":"","parse-names":false,"suffix":""},{"dropping-particle":"","family":"Sanders","given":"Nathan J.","non-dropping-particle":"","parse-names":false,"suffix":""},{"dropping-particle":"","family":"Pellissier","given":"Loïc","non-dropping-particle":"","parse-names":false,"suffix":""}],"container-title":"Global Change Biology","id":"ITEM-1","issue":"2","issued":{"date-parts":[["2018"]]},"page":"563-579","title":"Lags in the response of mountain plant communities to climate change","type":"article-journal","volume":"24"},"uris":["http://www.mendeley.com/documents/?uuid=933fcef6-8c32-4af1-b1c3-aa165670a27c"]},{"id":"ITEM-2","itemData":{"DOI":"10.1038/nature10548","ISSN":"1476-4687 (Electronic) 0028-0836 (Linking)","abstract":"Climate change is driving latitudinal and altitudinal shifts in species distribution worldwide, leading to novel species assemblages. Lags between these biotic responses and contemporary climate changes have been reported for plants and animals. Theoretically, the magnitude of these lags should be greatest in lowland areas, where the velocity of climate change is expected to be much greater than that in highland areas. We compared temperature trends to temperatures reconstructed from plant assemblages (observed in 76,634 surveys) over a 44-year period in France (1965-2008). Here we report that forest plant communities had responded to 0.54 degrees C of the effective increase of 1.07 degrees C in highland areas (500-2,600 m above sea level), while they had responded to only 0.02 degrees C of the 1.11 degrees C warming trend in lowland areas. There was a larger temperature lag (by 3.1 times) between the climate and plant community composition in lowland forests than in highland forests. The explanation of such disparity lies in the following properties of lowland, as compared to highland, forests: the higher proportion of species with greater ability for local persistence as the climate warms, the reduced opportunity for short-distance escapes, and the greater habitat fragmentation. Although mountains are currently considered to be among the ecosystems most threatened by climate change (owing to mountaintop extinction), the current inertia of plant communities in lowland forests should also be noted, as it could lead to lowland biotic attrition.","author":[{"dropping-particle":"","family":"Bertrand","given":"R","non-dropping-particle":"","parse-names":false,"suffix":""},{"dropping-particle":"","family":"Lenoir","given":"J","non-dropping-particle":"","parse-names":false,"suffix":""},{"dropping-particle":"","family":"Piedallu","given":"C","non-dropping-particle":"","parse-names":false,"suffix":""},{"dropping-particle":"","family":"Riofrio-Dillon","given":"G","non-dropping-particle":"","parse-names":false,"suffix":""},{"dropping-particle":"","family":"Ruffray","given":"P","non-dropping-particle":"de","parse-names":false,"suffix":""},{"dropping-particle":"","family":"Vidal","given":"C","non-dropping-particle":"","parse-names":false,"suffix":""},{"dropping-particle":"","family":"Pierrat","given":"J C","non-dropping-particle":"","parse-names":false,"suffix":""},{"dropping-particle":"","family":"Gegout","given":"J C","non-dropping-particle":"","parse-names":false,"suffix":""}],"container-title":"Nature","id":"ITEM-2","issue":"7374","issued":{"date-parts":[["2011"]]},"note":"Bertrand, Romain\nLenoir, Jonathan\nPiedallu, Christian\nRiofrio-Dillon, Gabriela\nde Ruffray, Patrice\nVidal, Claude\nPierrat, Jean-Claude\nGegout, Jean-Claude\neng\nHistorical Article\nResearch Support, Non-U.S. Gov't\nEngland\n2011/10/21 06:00\nNature. 2011 Oct 19;479(7374):517-20. doi: 10.1038/nature10548.","page":"517-520","publisher-place":"AgroParisTech, ENGREF, UMR1092 Laboratoire d'Etude des Ressources Foret-Bois (LERFoB), 14 rue Girardet, F-54000 Nancy, France. romain.bertrand@engref.agroparistech.fr","title":"Changes in plant community composition lag behind climate warming in lowland forests","type":"article-journal","volume":"479"},"uris":["http://www.mendeley.com/documents/?uuid=a87d5a07-e5d6-459a-849d-d613b3624dde"]},{"id":"ITEM-3","itemData":{"DOI":"10.1038/s41586-018-0715-9","ISSN":"0028-0836","abstract":"Global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J.","non-dropping-particle":"","parse-names":false,"suffix":""}],"container-title":"Nature","id":"ITEM-3","issued":{"date-parts":[["2018"]]},"page":"207-212","title":"Widespread but heterogeneous responses of Andean forests to climate change","type":"article-journal","volume":"564"},"uris":["http://www.mendeley.com/documents/?uuid=e6257b7d-4e8d-420d-97c0-5fa102877df9"]},{"id":"ITEM-4","itemData":{"DOI":"10.1038/nclimate1347","ISSN":"1758-678X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Change","id":"ITEM-4","issue":"2","issued":{"date-parts":[["2012"]]},"page":"121-124","title":"Differences in the climatic debts of birds and butterflies at a continental scale","type":"article-journal","volume":"2"},"uris":["http://www.mendeley.com/documents/?uuid=d4b4f2cc-358a-473b-8a16-0667af85637b"]}],"mendeley":{"formattedCitation":"(&lt;i&gt;10&lt;/i&gt;–&lt;i&gt;13&lt;/i&gt;)","plainTextFormattedCitation":"(10–13)","previouslyFormattedCitation":"(&lt;i&gt;10&lt;/i&gt;–&lt;i&gt;13&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10</w:t>
      </w:r>
      <w:r w:rsidR="004549C6" w:rsidRPr="008E0C1D">
        <w:rPr>
          <w:noProof/>
          <w:color w:val="000000" w:themeColor="text1"/>
          <w:sz w:val="24"/>
          <w:szCs w:val="24"/>
          <w:lang w:val="en-GB"/>
        </w:rPr>
        <w:t>–</w:t>
      </w:r>
      <w:r w:rsidR="004549C6" w:rsidRPr="008E0C1D">
        <w:rPr>
          <w:i/>
          <w:noProof/>
          <w:color w:val="000000" w:themeColor="text1"/>
          <w:sz w:val="24"/>
          <w:szCs w:val="24"/>
          <w:lang w:val="en-GB"/>
        </w:rPr>
        <w:t>13</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Climatic debt effects may be the inevitable consequence of habitat fragmentation, slow dispersal and long lifespans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{"citationItems":[{"id":"ITEM-1","itemData":{"DOI":"10.1038/ncomms12643 http://www.nature.com/articles/ncomms12643#supplementary-information","author":[{"dropping-particle":"","family":"Bertrand","given":"Romain","non-dropping-particle":"","parse-names":false,"suffix":""},{"dropping-particle":"","family":"Riofrío-Dillon","given":"Gabriela","non-dropping-particle":"","parse-names":false,"suffix":""},{"dropping-particle":"","family":"Lenoir","given":"Jonathan","non-dropping-particle":"","parse-names":false,"suffix":""},{"dropping-particle":"","family":"Drapier","given":"Jacques","non-dropping-particle":"","parse-names":false,"suffix":""},{"dropping-particle":"","family":"Ruffray","given":"Patrice","non-dropping-particle":"de","parse-names":false,"suffix":""},{"dropping-particle":"","family":"Gégout","given":"Jean-Claude","non-dropping-particle":"","parse-names":false,"suffix":""},{"dropping-particle":"","family":"Loreau","given":"Michel","non-dropping-particle":"","parse-names":false,"suffix":""}],"container-title":"Nature Communications","id":"ITEM-1","issued":{"date-parts":[["2016"]]},"page":"12643","title":"Ecological constraints increase the climatic debt in forests","type":"article-journal","volume":"7"},"uris":["http://www.mendeley.com/documents/?uuid=2c5379be-2794-4dd8-a5e2-3fb8b3893201"]}],"mendeley":{"formattedCitation":"(&lt;i&gt;20&lt;/i&gt;)","plainTextFormattedCitation":"(20)","previouslyFormattedCitation":"(&lt;i&gt;20&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20</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 but the magnitude of the climatic debt may also be affected by different warming rates of localised microclimates</w:t>
      </w:r>
      <w:r w:rsidRPr="008E0C1D">
        <w:rPr>
          <w:rFonts w:eastAsia="Times New Roman"/>
          <w:color w:val="000000" w:themeColor="text1"/>
          <w:sz w:val="24"/>
          <w:szCs w:val="24"/>
        </w:rPr>
        <w:t>. However, we know very little</w:t>
      </w:r>
      <w:r w:rsidR="00ED410A" w:rsidRPr="008E0C1D">
        <w:rPr>
          <w:rFonts w:eastAsia="Times New Roman"/>
          <w:color w:val="000000" w:themeColor="text1"/>
          <w:sz w:val="24"/>
          <w:szCs w:val="24"/>
        </w:rPr>
        <w:t xml:space="preserve"> about</w:t>
      </w:r>
      <w:r w:rsidRPr="008E0C1D">
        <w:rPr>
          <w:rFonts w:eastAsia="Times New Roman"/>
          <w:color w:val="000000" w:themeColor="text1"/>
          <w:sz w:val="24"/>
          <w:szCs w:val="24"/>
        </w:rPr>
        <w:t xml:space="preserve"> how microclimates have changed over time and it is unclear how any such change has modulated the temporal thermophilisation rate and climatic debt observed in plant and animal communities</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004549C6" w:rsidRPr="008E0C1D">
        <w:rPr>
          <w:rFonts w:eastAsia="Times New Roman"/>
          <w:color w:val="000000" w:themeColor="text1"/>
          <w:sz w:val="24"/>
          <w:szCs w:val="24"/>
        </w:rPr>
        <w:instrText>ADDIN CSL_CITATION {"citationItems":[{"id":"ITEM-1","itemData":{"DOI":"10.1038/nclimate1347","ISSN":"1758-678X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Change","id":"ITEM-1","issue":"2","issued":{"date-parts":[["2012"]]},"page":"121-124","title":"Differences in the climatic debts of birds and butterflies at a continental scale","type":"article-journal","volume":"2"},"uris":["http://www.mendeley.com/documents/?uuid=d4b4f2cc-358a-473b-8a16-0667af85637b"]},{"id":"ITEM-2","itemData":{"DOI":"10.1038/nclimate1329","ISSN":"1758678X","abstract":"Climate impact studies have indicated ecological fingerprints of recent global warming across a wide range of habitats1, 2. Although these studies have shown responses from various local case studies, a coherent large-scale account on temperature-driven changes of biotic communities has been lacking3, 4.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change5, 6 the observed transformation suggests a progressive decline of cold mountain habitats and their biota.","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Change","id":"ITEM-2","issue":"2","issued":{"date-parts":[["2012"]]},"page":"111-115","title":"Continent-wide response of mountain vegetation to climate change","type":"article-journal","volume":"2"},"uris":["http://www.mendeley.com/documents/?uuid=b9ed35d7-695c-49e5-81db-d164447db4f4"]},{"id":"ITEM-3","itemData":{"DOI":"10.1073/pnas.1311190110","ISSN":"1091-6490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Sciences","id":"ITEM-3","issue":"46","issued":{"date-parts":[["2013"]]},"note":"De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warming","type":"article-journal","volume":"110"},"uris":["http://www.mendeley.com/documents/?uuid=c5cd6296-0009-481e-a850-31476cea3e9e"]},{"id":"ITEM-4","itemData":{"DOI":"10.1038/s41586-018-0715-9","ISSN":"0028-0836","abstract":"Global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J.","non-dropping-particle":"","parse-names":false,"suffix":""}],"container-title":"Nature","id":"ITEM-4","issued":{"date-parts":[["2018"]]},"page":"207-212","title":"Widespread but heterogeneous responses of Andean forests to climate change","type":"article-journal","volume":"564"},"uris":["http://www.mendeley.com/documents/?uuid=e6257b7d-4e8d-420d-97c0-5fa102877df9"]}],"mendeley":{"formattedCitation":"(&lt;i&gt;12&lt;/i&gt;–&lt;i&gt;14&lt;/i&gt;, &lt;i&gt;17&lt;/i&gt;)","plainTextFormattedCitation":"(12–14, 17)","previouslyFormattedCitation":"(&lt;i&gt;12&lt;/i&gt;–&lt;i&gt;14&lt;/i&gt;, &lt;i&gt;17&lt;/i&gt;)"},"properties":{"noteIndex":0},"schema":"https://github.com/citation-style-language/schema/raw/master/csl-citation.json"}</w:instrText>
      </w:r>
      <w:r w:rsidRPr="008E0C1D">
        <w:rPr>
          <w:rFonts w:eastAsia="Times New Roman"/>
          <w:color w:val="000000" w:themeColor="text1"/>
          <w:sz w:val="24"/>
          <w:szCs w:val="24"/>
        </w:rPr>
        <w:fldChar w:fldCharType="separate"/>
      </w:r>
      <w:r w:rsidR="004549C6" w:rsidRPr="008E0C1D">
        <w:rPr>
          <w:rFonts w:eastAsia="Times New Roman"/>
          <w:noProof/>
          <w:color w:val="000000" w:themeColor="text1"/>
          <w:sz w:val="24"/>
          <w:szCs w:val="24"/>
        </w:rPr>
        <w:t>(</w:t>
      </w:r>
      <w:r w:rsidR="004549C6" w:rsidRPr="008E0C1D">
        <w:rPr>
          <w:rFonts w:eastAsia="Times New Roman"/>
          <w:i/>
          <w:noProof/>
          <w:color w:val="000000" w:themeColor="text1"/>
          <w:sz w:val="24"/>
          <w:szCs w:val="24"/>
        </w:rPr>
        <w:t>12</w:t>
      </w:r>
      <w:r w:rsidR="004549C6" w:rsidRPr="008E0C1D">
        <w:rPr>
          <w:rFonts w:eastAsia="Times New Roman"/>
          <w:noProof/>
          <w:color w:val="000000" w:themeColor="text1"/>
          <w:sz w:val="24"/>
          <w:szCs w:val="24"/>
        </w:rPr>
        <w:t>–</w:t>
      </w:r>
      <w:r w:rsidR="004549C6" w:rsidRPr="008E0C1D">
        <w:rPr>
          <w:rFonts w:eastAsia="Times New Roman"/>
          <w:i/>
          <w:noProof/>
          <w:color w:val="000000" w:themeColor="text1"/>
          <w:sz w:val="24"/>
          <w:szCs w:val="24"/>
        </w:rPr>
        <w:t>14</w:t>
      </w:r>
      <w:r w:rsidR="004549C6" w:rsidRPr="008E0C1D">
        <w:rPr>
          <w:rFonts w:eastAsia="Times New Roman"/>
          <w:noProof/>
          <w:color w:val="000000" w:themeColor="text1"/>
          <w:sz w:val="24"/>
          <w:szCs w:val="24"/>
        </w:rPr>
        <w:t xml:space="preserve">, </w:t>
      </w:r>
      <w:r w:rsidR="004549C6" w:rsidRPr="008E0C1D">
        <w:rPr>
          <w:rFonts w:eastAsia="Times New Roman"/>
          <w:i/>
          <w:noProof/>
          <w:color w:val="000000" w:themeColor="text1"/>
          <w:sz w:val="24"/>
          <w:szCs w:val="24"/>
        </w:rPr>
        <w:t>17</w:t>
      </w:r>
      <w:r w:rsidR="004549C6"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Pr="008E0C1D">
        <w:rPr>
          <w:rFonts w:eastAsia="Times New Roman"/>
          <w:color w:val="000000" w:themeColor="text1"/>
          <w:sz w:val="24"/>
          <w:szCs w:val="24"/>
        </w:rPr>
        <w:t xml:space="preserve">. </w:t>
      </w:r>
      <w:r w:rsidR="00192AC2" w:rsidRPr="008E0C1D">
        <w:rPr>
          <w:rFonts w:eastAsia="Times New Roman"/>
          <w:color w:val="000000" w:themeColor="text1"/>
          <w:sz w:val="24"/>
          <w:szCs w:val="24"/>
        </w:rPr>
        <w:t>Effects of</w:t>
      </w:r>
      <w:r w:rsidRPr="008E0C1D">
        <w:rPr>
          <w:rFonts w:eastAsia="Times New Roman"/>
          <w:color w:val="000000" w:themeColor="text1"/>
          <w:sz w:val="24"/>
          <w:szCs w:val="24"/>
        </w:rPr>
        <w:t xml:space="preserve"> changes in vegetation cover </w:t>
      </w:r>
      <w:r w:rsidR="00192AC2" w:rsidRPr="008E0C1D">
        <w:rPr>
          <w:rFonts w:eastAsia="Times New Roman"/>
          <w:color w:val="000000" w:themeColor="text1"/>
          <w:sz w:val="24"/>
          <w:szCs w:val="24"/>
        </w:rPr>
        <w:t>on</w:t>
      </w:r>
      <w:r w:rsidRPr="008E0C1D">
        <w:rPr>
          <w:rFonts w:eastAsia="Times New Roman"/>
          <w:color w:val="000000" w:themeColor="text1"/>
          <w:sz w:val="24"/>
          <w:szCs w:val="24"/>
        </w:rPr>
        <w:t xml:space="preserve"> microclimates near the ground could have either accelerated or counteracted the effects of macroclimate warming on biological </w:t>
      </w:r>
      <w:r w:rsidRPr="008E0C1D">
        <w:rPr>
          <w:rFonts w:eastAsia="Times New Roman"/>
          <w:color w:val="000000" w:themeColor="text1"/>
          <w:sz w:val="24"/>
          <w:szCs w:val="24"/>
        </w:rPr>
        <w:lastRenderedPageBreak/>
        <w:t>communities, but a long-term, large-scale and multi</w:t>
      </w:r>
      <w:r w:rsidR="009C2EDD" w:rsidRPr="008E0C1D">
        <w:rPr>
          <w:rFonts w:eastAsia="Times New Roman"/>
          <w:color w:val="000000" w:themeColor="text1"/>
          <w:sz w:val="24"/>
          <w:szCs w:val="24"/>
        </w:rPr>
        <w:t>-</w:t>
      </w:r>
      <w:r w:rsidRPr="008E0C1D">
        <w:rPr>
          <w:rFonts w:eastAsia="Times New Roman"/>
          <w:color w:val="000000" w:themeColor="text1"/>
          <w:sz w:val="24"/>
          <w:szCs w:val="24"/>
        </w:rPr>
        <w:t>taxa assessment of these effects is currently missing.</w:t>
      </w:r>
    </w:p>
    <w:p w14:paraId="7B50DEC0" w14:textId="7915983F"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Microclimates are perhaps nowhere more evident than in forests, owing to their three-dimensional canopy structure that drives shading, air mixing and evapotranspirative cooling</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{"citationItems":[{"id":"ITEM-1","itemData":{"author":[{"dropping-particle":"","family":"Geiger","given":"R","non-dropping-particle":"","parse-names":false,"suffix":""},{"dropping-particle":"","family":"Aron","given":"R H","non-dropping-particle":"","parse-names":false,"suffix":""},{"dropping-particle":"","family":"Todhunter","given":"P","non-dropping-particle":"","parse-names":false,"suffix":""}],"id":"ITEM-1","issued":{"date-parts":[["2003"]]},"publisher":"Rowman and Littlefield, Oxford","title":"The climate near the ground","type":"book"},"uris":["http://www.mendeley.com/documents/?uuid=8fd7c424-e825-44d9-89c5-bf845fb6b902"]},{"id":"ITEM-2","itemData":{"author":[{"dropping-particle":"","family":"Zellweger","given":"Florian","non-dropping-particle":"","parse-names":false,"suffix":""},{"dropping-particle":"","family":"Coomes","given":"David","non-dropping-particle":"","parse-names":false,"suffix":""},{"dropping-particle":"","family":"Lenoir","given":"Jonathan","non-dropping-particle":"","parse-names":false,"suffix":""},{"dropping-particle":"","family":"Depauw","given":"Leen","non-dropping-particle":"","parse-names":false,"suffix":""},{"dropping-particle":"","family":"Maes","given":"Sybryn L.","non-dropping-particle":"","parse-names":false,"suffix":""},{"dropping-particle":"","family":"Wulf","given":"Monika","non-dropping-particle":"","parse-names":false,"suffix":""},{"dropping-particle":"","family":"Kirby","given":"Keith","non-dropping-particle":"","parse-names":false,"suffix":""},{"dropping-particle":"","family":"Brunet","given":"Jörg","non-dropping-particle":"","parse-names":false,"suffix":""},{"dropping-particle":"","family":"Kopecky","given":"Martin","non-dropping-particle":"","parse-names":false,"suffix":""},{"dropping-particle":"","family":"Malis","given":"Frantisek","non-dropping-particle":"","parse-names":false,"suffix":""},{"dropping-particle":"","family":"Schmidt","given":"Wolfgang","non-dropping-particle":"","parse-names":false,"suffix":""},{"dropping-particle":"","family":"Heinrichs","given":"Steffi","non-dropping-particle":"","parse-names":false,"suffix":""},{"dropping-particle":"den","family":"Ouden","given":"Jan","non-dropping-particle":"","parse-names":false,"suffix":""},{"dropping-particle":"","family":"Jaroszewicz","given":"Bogdan","non-dropping-particle":"","parse-names":false,"suffix":""},{"dropping-particle":"","family":"Buyse","given":"Gauthier","non-dropping-particle":"","parse-names":false,"suffix":""},{"dropping-particle":"","family":"Spicher","given":"Fabien","non-dropping-particle":"","parse-names":false,"suffix":""},{"dropping-particle":"","family":"Verheyen","given":"Kris","non-dropping-particle":"","parse-names":false,"suffix":""},{"dropping-particle":"","family":"Frenne","given":"Pieter","non-dropping-particle":"De","parse-names":false,"suffix":""}],"container-title":"Global Ecology &amp; Biogeography","id":"ITEM-2","issue":"2","issued":{"date-parts":[["2019"]]},"page":"1774-1786","title":"Seasonal drivers of understorey temperature buffering in temperate deciduous forests across Europe","type":"article-journal","volume":"28"},"uris":["http://www.mendeley.com/documents/?uuid=2a780063-49c3-4c72-a916-4ebcc4b1b408"]}],"mendeley":{"formattedCitation":"(&lt;i&gt;7&lt;/i&gt;, &lt;i&gt;21&lt;/i&gt;)","plainTextFormattedCitation":"(7, 21)","previouslyFormattedCitation":"(&lt;i&gt;7&lt;/i&gt;, &lt;i&gt;21&lt;/i&gt;)"},"properties":{"noteIndex":0},"schema":"https://github.com/citation-style-language/schema/raw/master/csl-citation.json"}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7</w:t>
      </w:r>
      <w:r w:rsidRPr="008E0C1D">
        <w:rPr>
          <w:noProof/>
          <w:color w:val="000000" w:themeColor="text1"/>
          <w:sz w:val="24"/>
          <w:szCs w:val="24"/>
          <w:lang w:val="en-GB"/>
        </w:rPr>
        <w:t xml:space="preserve">, </w:t>
      </w:r>
      <w:r w:rsidRPr="008E0C1D">
        <w:rPr>
          <w:i/>
          <w:noProof/>
          <w:color w:val="000000" w:themeColor="text1"/>
          <w:sz w:val="24"/>
          <w:szCs w:val="24"/>
          <w:lang w:val="en-GB"/>
        </w:rPr>
        <w:t>21</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The tree canopy buffers forest-floor temperatures against extreme heat</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author":[{"dropping-particle":"","family":"Frenne","given":"Pieter","non-dropping-particle":"De","parse-names":false,"suffix":""},{"dropping-particle":"","family":"Zellweger","given":"Florian","non-dropping-particle":"","parse-names":false,"suffix":""},{"dropping-particle":"","family":"Rodríguez-Sánchez","given":"Francisco","non-dropping-particle":"","parse-names":false,"suffix":""},{"dropping-particle":"","family":"Scheffers","given":"Brett","non-dropping-particle":"","parse-names":false,"suffix":""},{"dropping-particle":"","family":"Hylander","given":"Kristoffer","non-dropping-particle":"","parse-names":false,"suffix":""},{"dropping-particle":"","family":"Luoto","given":"Miska","non-dropping-particle":"","parse-names":false,"suffix":""},{"dropping-particle":"","family":"Vellend","given":"Mark","non-dropping-particle":"","parse-names":false,"suffix":""},{"dropping-particle":"","family":"Verheyen","given":"Kris","non-dropping-particle":"","parse-names":false,"suffix":""},{"dropping-particle":"","family":"Lenoir","given":"Jonathan","non-dropping-particle":"","parse-names":false,"suffix":""}],"container-title":"Nature Ecology &amp; Evolution","id":"ITEM-1","issued":{"date-parts":[["2019"]]},"page":"744-749","title":"Global buffering of temperatures under forest canopies","type":"article-journal","volume":"3"},"uris":["http://www.mendeley.com/documents/?uuid=8e22fe5a-d708-4db1-bed2-c26b11b016cc"]}],"mendeley":{"formattedCitation":"(&lt;i&gt;9&lt;/i&gt;)","plainTextFormattedCitation":"(9)","previouslyFormattedCitation":"(&lt;i&gt;9&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9</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and this buffering capacity constantly changes with tree species, growth and mortality, leading to highly dynamic microclimates across space and over time</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{"citationItems":[{"id":"ITEM-1","itemData":{"author":[{"dropping-particle":"","family":"Jucker","given":"Tommaso","non-dropping-particle":"","parse-names":false,"suffix":""},{"dropping-particle":"","family":"Hardwick","given":"Stephen R.","non-dropping-particle":"","parse-names":false,"suffix":""},{"dropping-particle":"","family":"Both","given":"Sabine","non-dropping-particle":"","parse-names":false,"suffix":""},{"dropping-particle":"","family":"Elias","given":"Dafydd M.O.","non-dropping-particle":"","parse-names":false,"suffix":""},{"dropping-particle":"","family":"Ewers","given":"Robert M.","non-dropping-particle":"","parse-names":false,"suffix":""},{"dropping-particle":"","family":"Milodowski","given":"David T.","non-dropping-particle":"","parse-names":false,"suffix":""},{"dropping-particle":"","family":"Swinfield","given":"Tom","non-dropping-particle":"","parse-names":false,"suffix":""},{"dropping-particle":"","family":"Coomes","given":"David A.","non-dropping-particle":"","parse-names":false,"suffix":""}],"container-title":"Global Change Biology","id":"ITEM-1","issue":"11","issued":{"date-parts":[["2018"]]},"page":"5243-5258","title":"Canopy structure and topography jointly constrain the microclimate of human-modified tropical landscapes","type":"article-journal","volume":"24"},"uris":["http://www.mendeley.com/documents/?uuid=b6448f06-9607-40f0-9d06-34a334fa30a8"]}],"mendeley":{"formattedCitation":"(&lt;i&gt;22&lt;/i&gt;)","plainTextFormattedCitation":"(22)","previouslyFormattedCitation":"(&lt;i&gt;22&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22</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xml:space="preserve">. </w:t>
      </w:r>
      <w:r w:rsidR="00192AC2" w:rsidRPr="008E0C1D">
        <w:rPr>
          <w:rFonts w:eastAsia="Times New Roman"/>
          <w:color w:val="000000" w:themeColor="text1"/>
          <w:sz w:val="24"/>
          <w:szCs w:val="24"/>
        </w:rPr>
        <w:t>Accounting for changes in canopy cover</w:t>
      </w:r>
      <w:r w:rsidR="001B66AA" w:rsidRPr="008E0C1D">
        <w:rPr>
          <w:rFonts w:eastAsia="Times New Roman"/>
          <w:color w:val="000000" w:themeColor="text1"/>
          <w:sz w:val="24"/>
          <w:szCs w:val="24"/>
        </w:rPr>
        <w:t xml:space="preserve"> and</w:t>
      </w:r>
      <w:r w:rsidR="008C71B0" w:rsidRPr="008E0C1D">
        <w:rPr>
          <w:rFonts w:eastAsia="Times New Roman"/>
          <w:color w:val="000000" w:themeColor="text1"/>
          <w:sz w:val="24"/>
          <w:szCs w:val="24"/>
        </w:rPr>
        <w:t xml:space="preserve"> the</w:t>
      </w:r>
      <w:r w:rsidR="001B66AA" w:rsidRPr="008E0C1D">
        <w:rPr>
          <w:rFonts w:eastAsia="Times New Roman"/>
          <w:color w:val="000000" w:themeColor="text1"/>
          <w:sz w:val="24"/>
          <w:szCs w:val="24"/>
        </w:rPr>
        <w:t xml:space="preserve"> associated microclimate dynamics is therefore important to better understand the response of forest biodiversity to climate change.</w:t>
      </w:r>
      <w:r w:rsidR="00192AC2" w:rsidRPr="008E0C1D">
        <w:rPr>
          <w:rFonts w:eastAsia="Times New Roman"/>
          <w:color w:val="000000" w:themeColor="text1"/>
          <w:sz w:val="24"/>
          <w:szCs w:val="24"/>
        </w:rPr>
        <w:t xml:space="preserve"> </w:t>
      </w:r>
      <w:r w:rsidRPr="008E0C1D">
        <w:rPr>
          <w:rFonts w:eastAsia="Times New Roman"/>
          <w:color w:val="000000" w:themeColor="text1"/>
          <w:sz w:val="24"/>
          <w:szCs w:val="24"/>
        </w:rPr>
        <w:t xml:space="preserve">Here we provide multi-decadal evidence of forest sub-canopy temperature changes, enabling the comparison between anthropogenic climate change, as measured by weather stations (macroclimate), and forest microclimate dynamics triggered by canopy cover changes over time. </w:t>
      </w:r>
      <w:r w:rsidR="00D72CB3" w:rsidRPr="008E0C1D">
        <w:rPr>
          <w:rFonts w:eastAsia="Times New Roman"/>
          <w:color w:val="000000" w:themeColor="text1"/>
          <w:sz w:val="24"/>
          <w:szCs w:val="24"/>
        </w:rPr>
        <w:t xml:space="preserve">To this end, we combined sub-canopy temperature measurements in 100 forest stands in temperate forest in Europe with 2955 permanent vegetation plots </w:t>
      </w:r>
      <w:r w:rsidR="00E40FFE" w:rsidRPr="008E0C1D">
        <w:rPr>
          <w:rFonts w:eastAsia="Times New Roman"/>
          <w:color w:val="000000" w:themeColor="text1"/>
          <w:sz w:val="24"/>
          <w:szCs w:val="24"/>
        </w:rPr>
        <w:t>from 56 regions</w:t>
      </w:r>
      <w:r w:rsidR="00D72CB3" w:rsidRPr="008E0C1D">
        <w:rPr>
          <w:rFonts w:eastAsia="Times New Roman"/>
          <w:color w:val="000000" w:themeColor="text1"/>
          <w:sz w:val="24"/>
          <w:szCs w:val="24"/>
        </w:rPr>
        <w:t xml:space="preserve">, where each plot has been </w:t>
      </w:r>
      <w:r w:rsidR="00E40FFE" w:rsidRPr="008E0C1D">
        <w:rPr>
          <w:rFonts w:eastAsia="Times New Roman"/>
          <w:color w:val="000000" w:themeColor="text1"/>
          <w:sz w:val="24"/>
          <w:szCs w:val="24"/>
        </w:rPr>
        <w:t xml:space="preserve">resurveyed </w:t>
      </w:r>
      <w:r w:rsidRPr="008E0C1D">
        <w:rPr>
          <w:rFonts w:eastAsia="Times New Roman"/>
          <w:color w:val="000000" w:themeColor="text1"/>
          <w:sz w:val="24"/>
          <w:szCs w:val="24"/>
        </w:rPr>
        <w:t xml:space="preserve">over a period of 12 to 66 years </w:t>
      </w:r>
      <w:r w:rsidR="00D72CB3" w:rsidRPr="008E0C1D">
        <w:rPr>
          <w:rFonts w:eastAsia="Times New Roman"/>
          <w:color w:val="000000" w:themeColor="text1"/>
          <w:sz w:val="24"/>
          <w:szCs w:val="24"/>
        </w:rPr>
        <w:fldChar w:fldCharType="begin" w:fldLock="1"/>
      </w:r>
      <w:r w:rsidR="00A231E5" w:rsidRPr="008E0C1D">
        <w:rPr>
          <w:rFonts w:eastAsia="Times New Roman"/>
          <w:color w:val="000000" w:themeColor="text1"/>
          <w:sz w:val="24"/>
          <w:szCs w:val="24"/>
        </w:rPr>
        <w:instrText>ADDIN CSL_CITATION {"citationItems":[{"id":"ITEM-1","itemData":{"id":"ITEM-1","issued":{"date-parts":[["0"]]},"title":"Materials and methods are available as supplementary materials.","type":"report"},"uris":["http://www.mendeley.com/documents/?uuid=177cf7c0-480f-4823-8b96-a1836508aca6","http://www.mendeley.com/documents/?uuid=a9225e47-927f-404e-8d72-a5899583d055"]}],"mendeley":{"formattedCitation":"(&lt;i&gt;23&lt;/i&gt;)","plainTextFormattedCitation":"(23)","previouslyFormattedCitation":"(&lt;i&gt;23&lt;/i&gt;)"},"properties":{"noteIndex":0},"schema":"https://github.com/citation-style-language/schema/raw/master/csl-citation.json"}</w:instrText>
      </w:r>
      <w:r w:rsidR="00D72CB3" w:rsidRPr="008E0C1D">
        <w:rPr>
          <w:rFonts w:eastAsia="Times New Roman"/>
          <w:color w:val="000000" w:themeColor="text1"/>
          <w:sz w:val="24"/>
          <w:szCs w:val="24"/>
        </w:rPr>
        <w:fldChar w:fldCharType="separate"/>
      </w:r>
      <w:r w:rsidR="00D72CB3" w:rsidRPr="008E0C1D">
        <w:rPr>
          <w:rFonts w:eastAsia="Times New Roman"/>
          <w:noProof/>
          <w:color w:val="000000" w:themeColor="text1"/>
          <w:sz w:val="24"/>
          <w:szCs w:val="24"/>
        </w:rPr>
        <w:t>(</w:t>
      </w:r>
      <w:r w:rsidR="00D72CB3" w:rsidRPr="008E0C1D">
        <w:rPr>
          <w:rFonts w:eastAsia="Times New Roman"/>
          <w:i/>
          <w:noProof/>
          <w:color w:val="000000" w:themeColor="text1"/>
          <w:sz w:val="24"/>
          <w:szCs w:val="24"/>
        </w:rPr>
        <w:t>23</w:t>
      </w:r>
      <w:r w:rsidR="00D72CB3" w:rsidRPr="008E0C1D">
        <w:rPr>
          <w:rFonts w:eastAsia="Times New Roman"/>
          <w:noProof/>
          <w:color w:val="000000" w:themeColor="text1"/>
          <w:sz w:val="24"/>
          <w:szCs w:val="24"/>
        </w:rPr>
        <w:t>)</w:t>
      </w:r>
      <w:r w:rsidR="00D72CB3" w:rsidRPr="008E0C1D">
        <w:rPr>
          <w:rFonts w:eastAsia="Times New Roman"/>
          <w:color w:val="000000" w:themeColor="text1"/>
          <w:sz w:val="24"/>
          <w:szCs w:val="24"/>
        </w:rPr>
        <w:fldChar w:fldCharType="end"/>
      </w:r>
      <w:r w:rsidR="00D72CB3" w:rsidRPr="008E0C1D">
        <w:rPr>
          <w:rFonts w:eastAsia="Times New Roman"/>
          <w:color w:val="000000" w:themeColor="text1"/>
          <w:sz w:val="24"/>
          <w:szCs w:val="24"/>
        </w:rPr>
        <w:t xml:space="preserve"> </w:t>
      </w:r>
      <w:r w:rsidRPr="008E0C1D">
        <w:rPr>
          <w:rFonts w:eastAsia="Times New Roman"/>
          <w:color w:val="000000" w:themeColor="text1"/>
          <w:sz w:val="24"/>
          <w:szCs w:val="24"/>
        </w:rPr>
        <w:t>(Fig. 1</w:t>
      </w:r>
      <w:r w:rsidR="009C2EDD" w:rsidRPr="008E0C1D">
        <w:rPr>
          <w:rFonts w:eastAsia="Times New Roman"/>
          <w:color w:val="000000" w:themeColor="text1"/>
          <w:sz w:val="24"/>
          <w:szCs w:val="24"/>
        </w:rPr>
        <w:t>A</w:t>
      </w:r>
      <w:r w:rsidRPr="008E0C1D">
        <w:rPr>
          <w:rFonts w:eastAsia="Times New Roman"/>
          <w:color w:val="000000" w:themeColor="text1"/>
          <w:sz w:val="24"/>
          <w:szCs w:val="24"/>
        </w:rPr>
        <w:t xml:space="preserve">, Fig. S1). Using a continental-scale analysis of forest microclimates based on </w:t>
      </w:r>
      <w:r w:rsidRPr="008E0C1D">
        <w:rPr>
          <w:rFonts w:eastAsia="Times New Roman"/>
          <w:i/>
          <w:color w:val="000000" w:themeColor="text1"/>
          <w:sz w:val="24"/>
          <w:szCs w:val="24"/>
        </w:rPr>
        <w:t>in situ</w:t>
      </w:r>
      <w:r w:rsidRPr="008E0C1D">
        <w:rPr>
          <w:rFonts w:eastAsia="Times New Roman"/>
          <w:color w:val="000000" w:themeColor="text1"/>
          <w:sz w:val="24"/>
          <w:szCs w:val="24"/>
        </w:rPr>
        <w:t xml:space="preserve"> empirical temperature and canopy cover data we then predict changes in </w:t>
      </w:r>
      <w:r w:rsidR="00343018" w:rsidRPr="008E0C1D">
        <w:rPr>
          <w:rFonts w:eastAsia="Times New Roman"/>
          <w:color w:val="000000" w:themeColor="text1"/>
          <w:sz w:val="24"/>
          <w:szCs w:val="24"/>
        </w:rPr>
        <w:t>understorey</w:t>
      </w:r>
      <w:r w:rsidRPr="008E0C1D">
        <w:rPr>
          <w:rFonts w:eastAsia="Times New Roman"/>
          <w:color w:val="000000" w:themeColor="text1"/>
          <w:sz w:val="24"/>
          <w:szCs w:val="24"/>
        </w:rPr>
        <w:t xml:space="preserve"> temperature during the growing season, building upon the relationship between canopy cover and the buffering of macroclimate temperatures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Pr="008E0C1D">
        <w:rPr>
          <w:color w:val="000000" w:themeColor="text1"/>
          <w:sz w:val="24"/>
          <w:szCs w:val="24"/>
          <w:lang w:val="en-GB"/>
        </w:rPr>
        <w:instrText>ADDIN CSL_CITATION {"citationItems":[{"id":"ITEM-1","itemData":{"author":[{"dropping-particle":"","family":"Zellweger","given":"Florian","non-dropping-particle":"","parse-names":false,"suffix":""},{"dropping-particle":"","family":"Coomes","given":"David","non-dropping-particle":"","parse-names":false,"suffix":""},{"dropping-particle":"","family":"Lenoir","given":"Jonathan","non-dropping-particle":"","parse-names":false,"suffix":""},{"dropping-particle":"","family":"Depauw","given":"Leen","non-dropping-particle":"","parse-names":false,"suffix":""},{"dropping-particle":"","family":"Maes","given":"Sybryn L.","non-dropping-particle":"","parse-names":false,"suffix":""},{"dropping-particle":"","family":"Wulf","given":"Monika","non-dropping-particle":"","parse-names":false,"suffix":""},{"dropping-particle":"","family":"Kirby","given":"Keith","non-dropping-particle":"","parse-names":false,"suffix":""},{"dropping-particle":"","family":"Brunet","given":"Jörg","non-dropping-particle":"","parse-names":false,"suffix":""},{"dropping-particle":"","family":"Kopecky","given":"Martin","non-dropping-particle":"","parse-names":false,"suffix":""},{"dropping-particle":"","family":"Malis","given":"Frantisek","non-dropping-particle":"","parse-names":false,"suffix":""},{"dropping-particle":"","family":"Schmidt","given":"Wolfgang","non-dropping-particle":"","parse-names":false,"suffix":""},{"dropping-particle":"","family":"Heinrichs","given":"Steffi","non-dropping-particle":"","parse-names":false,"suffix":""},{"dropping-particle":"den","family":"Ouden","given":"Jan","non-dropping-particle":"","parse-names":false,"suffix":""},{"dropping-particle":"","family":"Jaroszewicz","given":"Bogdan","non-dropping-particle":"","parse-names":false,"suffix":""},{"dropping-particle":"","family":"Buyse","given":"Gauthier","non-dropping-particle":"","parse-names":false,"suffix":""},{"dropping-particle":"","family":"Spicher","given":"Fabien","non-dropping-particle":"","parse-names":false,"suffix":""},{"dropping-particle":"","family":"Verheyen","given":"Kris","non-dropping-particle":"","parse-names":false,"suffix":""},{"dropping-particle":"","family":"Frenne","given":"Pieter","non-dropping-particle":"De","parse-names":false,"suffix":""}],"container-title":"Global Ecology &amp; Biogeography","id":"ITEM-1","issue":"2","issued":{"date-parts":[["2019"]]},"page":"1774-1786","title":"Seasonal drivers of understorey temperature buffering in temperate deciduous forests across Europe","type":"article-journal","volume":"28"},"uris":["http://www.mendeley.com/documents/?uuid=2a780063-49c3-4c72-a916-4ebcc4b1b408"]}],"mendeley":{"formattedCitation":"(&lt;i&gt;21&lt;/i&gt;)","plainTextFormattedCitation":"(21)","previouslyFormattedCitation":"(&lt;i&gt;21&lt;/i&gt;)"},"properties":{"noteIndex":0},"schema":"https://github.com/citation-style-language/schema/raw/master/csl-citation.json"}</w:instrText>
      </w:r>
      <w:r w:rsidRPr="008E0C1D">
        <w:rPr>
          <w:color w:val="000000" w:themeColor="text1"/>
          <w:sz w:val="24"/>
          <w:szCs w:val="24"/>
          <w:lang w:val="en-GB"/>
        </w:rPr>
        <w:fldChar w:fldCharType="separate"/>
      </w:r>
      <w:r w:rsidRPr="008E0C1D">
        <w:rPr>
          <w:noProof/>
          <w:color w:val="000000" w:themeColor="text1"/>
          <w:sz w:val="24"/>
          <w:szCs w:val="24"/>
          <w:lang w:val="en-GB"/>
        </w:rPr>
        <w:t>(</w:t>
      </w:r>
      <w:r w:rsidRPr="008E0C1D">
        <w:rPr>
          <w:i/>
          <w:noProof/>
          <w:color w:val="000000" w:themeColor="text1"/>
          <w:sz w:val="24"/>
          <w:szCs w:val="24"/>
          <w:lang w:val="en-GB"/>
        </w:rPr>
        <w:t>21</w:t>
      </w:r>
      <w:r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 xml:space="preserve"> (Fig. 1</w:t>
      </w:r>
      <w:r w:rsidR="009C2EDD" w:rsidRPr="008E0C1D">
        <w:rPr>
          <w:color w:val="000000" w:themeColor="text1"/>
          <w:sz w:val="24"/>
          <w:szCs w:val="24"/>
          <w:lang w:val="en-GB"/>
        </w:rPr>
        <w:t>B</w:t>
      </w:r>
      <w:r w:rsidRPr="008E0C1D">
        <w:rPr>
          <w:color w:val="000000" w:themeColor="text1"/>
          <w:sz w:val="24"/>
          <w:szCs w:val="24"/>
          <w:lang w:val="en-GB"/>
        </w:rPr>
        <w:t xml:space="preserve"> &amp; </w:t>
      </w:r>
      <w:r w:rsidR="009C2EDD" w:rsidRPr="008E0C1D">
        <w:rPr>
          <w:color w:val="000000" w:themeColor="text1"/>
          <w:sz w:val="24"/>
          <w:szCs w:val="24"/>
          <w:lang w:val="en-GB"/>
        </w:rPr>
        <w:t>C</w:t>
      </w:r>
      <w:r w:rsidRPr="008E0C1D">
        <w:rPr>
          <w:color w:val="000000" w:themeColor="text1"/>
          <w:sz w:val="24"/>
          <w:szCs w:val="24"/>
          <w:lang w:val="en-GB"/>
        </w:rPr>
        <w:t>)</w:t>
      </w:r>
      <w:r w:rsidRPr="008E0C1D">
        <w:rPr>
          <w:rFonts w:eastAsia="Times New Roman"/>
          <w:color w:val="000000" w:themeColor="text1"/>
          <w:sz w:val="24"/>
          <w:szCs w:val="24"/>
        </w:rPr>
        <w:t>.</w:t>
      </w:r>
    </w:p>
    <w:p w14:paraId="603C72A9" w14:textId="77777777" w:rsidR="00610494" w:rsidRPr="008E0C1D" w:rsidRDefault="00610494" w:rsidP="00610494">
      <w:pPr>
        <w:ind w:firstLine="720"/>
        <w:rPr>
          <w:rFonts w:eastAsia="Times New Roman"/>
          <w:color w:val="000000" w:themeColor="text1"/>
          <w:sz w:val="24"/>
          <w:szCs w:val="24"/>
        </w:rPr>
      </w:pPr>
    </w:p>
    <w:p w14:paraId="687E5EEA" w14:textId="39340440" w:rsidR="00615848" w:rsidRPr="008E0C1D" w:rsidRDefault="00972F22" w:rsidP="00610494">
      <w:pPr>
        <w:jc w:val="both"/>
        <w:rPr>
          <w:rFonts w:eastAsia="Times New Roman"/>
          <w:color w:val="000000" w:themeColor="text1"/>
          <w:sz w:val="24"/>
          <w:szCs w:val="24"/>
        </w:rPr>
      </w:pPr>
      <w:r w:rsidRPr="008E0C1D">
        <w:rPr>
          <w:rFonts w:eastAsia="Times New Roman"/>
          <w:noProof/>
          <w:color w:val="000000" w:themeColor="text1"/>
          <w:sz w:val="24"/>
          <w:szCs w:val="24"/>
        </w:rPr>
        <w:drawing>
          <wp:inline distT="0" distB="0" distL="0" distR="0" wp14:anchorId="1B93DA01" wp14:editId="73B2CF18">
            <wp:extent cx="5577840" cy="1418893"/>
            <wp:effectExtent l="0" t="0" r="0" b="381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1.jpg"/>
                    <pic:cNvPicPr/>
                  </pic:nvPicPr>
                  <pic:blipFill>
                    <a:blip r:embed="rId9"/>
                    <a:stretch>
                      <a:fillRect/>
                    </a:stretch>
                  </pic:blipFill>
                  <pic:spPr>
                    <a:xfrm>
                      <a:off x="0" y="0"/>
                      <a:ext cx="5629687" cy="1432082"/>
                    </a:xfrm>
                    <a:prstGeom prst="rect">
                      <a:avLst/>
                    </a:prstGeom>
                  </pic:spPr>
                </pic:pic>
              </a:graphicData>
            </a:graphic>
          </wp:inline>
        </w:drawing>
      </w:r>
    </w:p>
    <w:p w14:paraId="530C17E4" w14:textId="6196FA4B" w:rsidR="00615848" w:rsidRPr="008E0C1D" w:rsidRDefault="00615848" w:rsidP="00610494">
      <w:pPr>
        <w:rPr>
          <w:color w:val="000000" w:themeColor="text1"/>
          <w:sz w:val="24"/>
          <w:szCs w:val="24"/>
        </w:rPr>
      </w:pPr>
    </w:p>
    <w:p w14:paraId="11FD5A5A" w14:textId="35120EFF" w:rsidR="00615848" w:rsidRPr="008E0C1D" w:rsidRDefault="00615848" w:rsidP="00610494">
      <w:pPr>
        <w:rPr>
          <w:rFonts w:eastAsia="Times New Roman"/>
          <w:color w:val="000000" w:themeColor="text1"/>
        </w:rPr>
      </w:pPr>
      <w:r w:rsidRPr="008E0C1D">
        <w:rPr>
          <w:rFonts w:eastAsia="Times New Roman"/>
          <w:b/>
          <w:color w:val="000000" w:themeColor="text1"/>
        </w:rPr>
        <w:t>Fig. 1</w:t>
      </w:r>
      <w:r w:rsidR="00C761F3" w:rsidRPr="008E0C1D">
        <w:rPr>
          <w:rFonts w:eastAsia="Times New Roman"/>
          <w:b/>
          <w:color w:val="000000" w:themeColor="text1"/>
        </w:rPr>
        <w:t>.</w:t>
      </w:r>
      <w:r w:rsidRPr="008E0C1D">
        <w:rPr>
          <w:rFonts w:eastAsia="Times New Roman"/>
          <w:b/>
          <w:color w:val="000000" w:themeColor="text1"/>
        </w:rPr>
        <w:t xml:space="preserve"> Forest microclimate change following canopy cover changes over time is considerably more variable than macroclimate change. </w:t>
      </w:r>
      <w:r w:rsidR="009C2EDD" w:rsidRPr="008E0C1D">
        <w:rPr>
          <w:rFonts w:eastAsia="Times New Roman"/>
          <w:color w:val="000000" w:themeColor="text1"/>
        </w:rPr>
        <w:t>(</w:t>
      </w:r>
      <w:r w:rsidR="009C2EDD" w:rsidRPr="008E0C1D">
        <w:rPr>
          <w:rFonts w:eastAsia="Times New Roman"/>
          <w:b/>
          <w:color w:val="000000" w:themeColor="text1"/>
        </w:rPr>
        <w:t>A</w:t>
      </w:r>
      <w:r w:rsidR="009C2EDD" w:rsidRPr="008E0C1D">
        <w:rPr>
          <w:rFonts w:eastAsia="Times New Roman"/>
          <w:color w:val="000000" w:themeColor="text1"/>
        </w:rPr>
        <w:t>)</w:t>
      </w:r>
      <w:r w:rsidRPr="008E0C1D">
        <w:rPr>
          <w:rFonts w:eastAsia="Times New Roman"/>
          <w:b/>
          <w:color w:val="000000" w:themeColor="text1"/>
        </w:rPr>
        <w:t xml:space="preserve">, </w:t>
      </w:r>
      <w:r w:rsidR="00DD1A8A" w:rsidRPr="008E0C1D">
        <w:rPr>
          <w:rFonts w:eastAsia="Times New Roman"/>
          <w:bCs/>
          <w:color w:val="000000" w:themeColor="text1"/>
        </w:rPr>
        <w:t>T</w:t>
      </w:r>
      <w:r w:rsidRPr="008E0C1D">
        <w:rPr>
          <w:rFonts w:eastAsia="Times New Roman"/>
          <w:bCs/>
          <w:color w:val="000000" w:themeColor="text1"/>
        </w:rPr>
        <w:t xml:space="preserve">he distribution of the </w:t>
      </w:r>
      <w:r w:rsidRPr="008E0C1D">
        <w:rPr>
          <w:rFonts w:eastAsia="Times New Roman"/>
          <w:color w:val="000000" w:themeColor="text1"/>
        </w:rPr>
        <w:t xml:space="preserve">2955 </w:t>
      </w:r>
      <w:r w:rsidRPr="008E0C1D">
        <w:rPr>
          <w:rFonts w:eastAsia="Times New Roman"/>
          <w:bCs/>
          <w:color w:val="000000" w:themeColor="text1"/>
        </w:rPr>
        <w:t xml:space="preserve">resurveyed forest plots </w:t>
      </w:r>
      <w:r w:rsidRPr="008E0C1D">
        <w:rPr>
          <w:rFonts w:eastAsia="Times New Roman"/>
          <w:color w:val="000000" w:themeColor="text1"/>
        </w:rPr>
        <w:t>(</w:t>
      </w:r>
      <w:r w:rsidR="0071710C" w:rsidRPr="008E0C1D">
        <w:rPr>
          <w:rFonts w:eastAsia="Times New Roman"/>
          <w:color w:val="000000" w:themeColor="text1"/>
        </w:rPr>
        <w:t>black</w:t>
      </w:r>
      <w:r w:rsidRPr="008E0C1D">
        <w:rPr>
          <w:rFonts w:eastAsia="Times New Roman"/>
          <w:color w:val="000000" w:themeColor="text1"/>
        </w:rPr>
        <w:t xml:space="preserve"> dots) in 56 regions (purple circles, scaled to the number of plots as indicated in the top right) across the temperate forest biome (green area) </w:t>
      </w:r>
      <w:r w:rsidRPr="008E0C1D">
        <w:rPr>
          <w:rFonts w:eastAsia="Times New Roman"/>
          <w:bCs/>
          <w:color w:val="000000" w:themeColor="text1"/>
        </w:rPr>
        <w:t>in Europe.</w:t>
      </w:r>
      <w:r w:rsidRPr="008E0C1D">
        <w:rPr>
          <w:rFonts w:eastAsia="Times New Roman"/>
          <w:color w:val="000000" w:themeColor="text1"/>
        </w:rPr>
        <w:t xml:space="preserve"> We representatively sampled microclimate temperature in 100 forest stands, i.e., in 10 stands in each of 10 regions (black circles; effective n = 96), to estimate the maximum (macroclimate) temperature buffering during the growing season as a function of canopy cover </w:t>
      </w:r>
      <w:r w:rsidR="00DD1A8A" w:rsidRPr="008E0C1D">
        <w:rPr>
          <w:rFonts w:eastAsia="Times New Roman"/>
          <w:color w:val="000000" w:themeColor="text1"/>
        </w:rPr>
        <w:fldChar w:fldCharType="begin" w:fldLock="1"/>
      </w:r>
      <w:r w:rsidR="00A231E5" w:rsidRPr="008E0C1D">
        <w:rPr>
          <w:rFonts w:eastAsia="Times New Roman"/>
          <w:color w:val="000000" w:themeColor="text1"/>
        </w:rPr>
        <w:instrText>ADDIN CSL_CITATION {"citationItems":[{"id":"ITEM-1","itemData":{"id":"ITEM-1","issued":{"date-parts":[["0"]]},"title":"Materials and methods are available as supplementary materials.","type":"report"},"uris":["http://www.mendeley.com/documents/?uuid=a9225e47-927f-404e-8d72-a5899583d055","http://www.mendeley.com/documents/?uuid=177cf7c0-480f-4823-8b96-a1836508aca6"]}],"mendeley":{"formattedCitation":"(&lt;i&gt;23&lt;/i&gt;)","plainTextFormattedCitation":"(23)","previouslyFormattedCitation":"(&lt;i&gt;23&lt;/i&gt;)"},"properties":{"noteIndex":0},"schema":"https://github.com/citation-style-language/schema/raw/master/csl-citation.json"}</w:instrText>
      </w:r>
      <w:r w:rsidR="00DD1A8A" w:rsidRPr="008E0C1D">
        <w:rPr>
          <w:rFonts w:eastAsia="Times New Roman"/>
          <w:color w:val="000000" w:themeColor="text1"/>
        </w:rPr>
        <w:fldChar w:fldCharType="separate"/>
      </w:r>
      <w:r w:rsidR="00DD1A8A" w:rsidRPr="008E0C1D">
        <w:rPr>
          <w:rFonts w:eastAsia="Times New Roman"/>
          <w:noProof/>
          <w:color w:val="000000" w:themeColor="text1"/>
        </w:rPr>
        <w:t>(</w:t>
      </w:r>
      <w:r w:rsidR="00DD1A8A" w:rsidRPr="008E0C1D">
        <w:rPr>
          <w:rFonts w:eastAsia="Times New Roman"/>
          <w:i/>
          <w:noProof/>
          <w:color w:val="000000" w:themeColor="text1"/>
        </w:rPr>
        <w:t>23</w:t>
      </w:r>
      <w:r w:rsidR="00DD1A8A" w:rsidRPr="008E0C1D">
        <w:rPr>
          <w:rFonts w:eastAsia="Times New Roman"/>
          <w:noProof/>
          <w:color w:val="000000" w:themeColor="text1"/>
        </w:rPr>
        <w:t>)</w:t>
      </w:r>
      <w:r w:rsidR="00DD1A8A" w:rsidRPr="008E0C1D">
        <w:rPr>
          <w:rFonts w:eastAsia="Times New Roman"/>
          <w:color w:val="000000" w:themeColor="text1"/>
        </w:rPr>
        <w:fldChar w:fldCharType="end"/>
      </w:r>
      <w:r w:rsidR="00DD1A8A" w:rsidRPr="008E0C1D">
        <w:rPr>
          <w:rFonts w:eastAsia="Times New Roman"/>
          <w:color w:val="000000" w:themeColor="text1"/>
        </w:rPr>
        <w:t xml:space="preserve"> </w:t>
      </w:r>
      <w:r w:rsidRPr="008E0C1D">
        <w:rPr>
          <w:rFonts w:eastAsia="Times New Roman"/>
          <w:color w:val="000000" w:themeColor="text1"/>
        </w:rPr>
        <w:t xml:space="preserve">(Fig. S2). </w:t>
      </w:r>
      <w:r w:rsidR="009C2EDD" w:rsidRPr="008E0C1D">
        <w:rPr>
          <w:rFonts w:eastAsia="Times New Roman"/>
          <w:color w:val="000000" w:themeColor="text1"/>
        </w:rPr>
        <w:t>(</w:t>
      </w:r>
      <w:r w:rsidR="009C2EDD" w:rsidRPr="008E0C1D">
        <w:rPr>
          <w:rFonts w:eastAsia="Times New Roman"/>
          <w:b/>
          <w:color w:val="000000" w:themeColor="text1"/>
        </w:rPr>
        <w:t>B</w:t>
      </w:r>
      <w:r w:rsidR="009C2EDD" w:rsidRPr="008E0C1D">
        <w:rPr>
          <w:rFonts w:eastAsia="Times New Roman"/>
          <w:color w:val="000000" w:themeColor="text1"/>
        </w:rPr>
        <w:t>)</w:t>
      </w:r>
      <w:r w:rsidRPr="008E0C1D">
        <w:rPr>
          <w:rFonts w:eastAsia="Times New Roman"/>
          <w:b/>
          <w:color w:val="000000" w:themeColor="text1"/>
        </w:rPr>
        <w:t xml:space="preserve">, </w:t>
      </w:r>
      <w:r w:rsidRPr="008E0C1D">
        <w:rPr>
          <w:rFonts w:eastAsia="Times New Roman"/>
          <w:color w:val="000000" w:themeColor="text1"/>
        </w:rPr>
        <w:t xml:space="preserve">Schematic overview of the method used to approximate microclimate change in the forest </w:t>
      </w:r>
      <w:r w:rsidR="00343018" w:rsidRPr="008E0C1D">
        <w:rPr>
          <w:rFonts w:eastAsia="Times New Roman"/>
          <w:color w:val="000000" w:themeColor="text1"/>
        </w:rPr>
        <w:t>understorey</w:t>
      </w:r>
      <w:r w:rsidRPr="008E0C1D">
        <w:rPr>
          <w:rFonts w:eastAsia="Times New Roman"/>
          <w:color w:val="000000" w:themeColor="text1"/>
        </w:rPr>
        <w:t>. In this example, canopy cover at the time of the baseline survey was higher than during the resurvey, resulting in a decrease in macroclimate temperature buffering from 2 to 1 °C, which in turn led to a relatively larger increase in microclimate warming (20 to 23 °C) compared to macroclimate warming (22 to 24 °C). The relationship between canopy cover and the buffering of maximum macroclimate temperature was empirically assessed across the study area (Fig. S2)</w:t>
      </w:r>
      <w:r w:rsidR="009D2212" w:rsidRPr="008E0C1D">
        <w:rPr>
          <w:rFonts w:eastAsia="Times New Roman"/>
          <w:color w:val="000000" w:themeColor="text1"/>
        </w:rPr>
        <w:t xml:space="preserve"> </w:t>
      </w:r>
      <w:r w:rsidRPr="008E0C1D">
        <w:rPr>
          <w:rFonts w:eastAsia="Times New Roman"/>
          <w:color w:val="000000" w:themeColor="text1"/>
        </w:rPr>
        <w:fldChar w:fldCharType="begin" w:fldLock="1"/>
      </w:r>
      <w:r w:rsidRPr="008E0C1D">
        <w:rPr>
          <w:rFonts w:eastAsia="Times New Roman"/>
          <w:color w:val="000000" w:themeColor="text1"/>
        </w:rPr>
        <w:instrText>ADDIN CSL_CITATION {"citationItems":[{"id":"ITEM-1","itemData":{"author":[{"dropping-particle":"","family":"Zellweger","given":"Florian","non-dropping-particle":"","parse-names":false,"suffix":""},{"dropping-particle":"","family":"Coomes","given":"David","non-dropping-particle":"","parse-names":false,"suffix":""},{"dropping-particle":"","family":"Lenoir","given":"Jonathan","non-dropping-particle":"","parse-names":false,"suffix":""},{"dropping-particle":"","family":"Depauw","given":"Leen","non-dropping-particle":"","parse-names":false,"suffix":""},{"dropping-particle":"","family":"Maes","given":"Sybryn L.","non-dropping-particle":"","parse-names":false,"suffix":""},{"dropping-particle":"","family":"Wulf","given":"Monika","non-dropping-particle":"","parse-names":false,"suffix":""},{"dropping-particle":"","family":"Kirby","given":"Keith","non-dropping-particle":"","parse-names":false,"suffix":""},{"dropping-particle":"","family":"Brunet","given":"Jörg","non-dropping-particle":"","parse-names":false,"suffix":""},{"dropping-particle":"","family":"Kopecky","given":"Martin","non-dropping-particle":"","parse-names":false,"suffix":""},{"dropping-particle":"","family":"Malis","given":"Frantisek","non-dropping-particle":"","parse-names":false,"suffix":""},{"dropping-particle":"","family":"Schmidt","given":"Wolfgang","non-dropping-particle":"","parse-names":false,"suffix":""},{"dropping-particle":"","family":"Heinrichs","given":"Steffi","non-dropping-particle":"","parse-names":false,"suffix":""},{"dropping-particle":"den","family":"Ouden","given":"Jan","non-dropping-particle":"","parse-names":false,"suffix":""},{"dropping-particle":"","family":"Jaroszewicz","given":"Bogdan","non-dropping-particle":"","parse-names":false,"suffix":""},{"dropping-particle":"","family":"Buyse","given":"Gauthier","non-dropping-particle":"","parse-names":false,"suffix":""},{"dropping-particle":"","family":"Spicher","given":"Fabien","non-dropping-particle":"","parse-names":false,"suffix":""},{"dropping-particle":"","family":"Verheyen","given":"Kris","non-dropping-particle":"","parse-names":false,"suffix":""},{"dropping-particle":"","family":"Frenne","given":"Pieter","non-dropping-particle":"De","parse-names":false,"suffix":""}],"container-title":"Global Ecology &amp; Biogeography","id":"ITEM-1","issue":"2","issued":{"date-parts":[["2019"]]},"page":"1774-1786","title":"Seasonal drivers of understorey temperature buffering in temperate deciduous forests across Europe","type":"article-journal","volume":"28"},"uris":["http://www.mendeley.com/documents/?uuid=2a780063-49c3-4c72-a916-4ebcc4b1b408"]}],"mendeley":{"formattedCitation":"(&lt;i&gt;21&lt;/i&gt;)","plainTextFormattedCitation":"(21)","previouslyFormattedCitation":"(&lt;i&gt;21&lt;/i&gt;)"},"properties":{"noteIndex":0},"schema":"https://github.com/citation-style-language/schema/raw/master/csl-citation.json"}</w:instrText>
      </w:r>
      <w:r w:rsidRPr="008E0C1D">
        <w:rPr>
          <w:rFonts w:eastAsia="Times New Roman"/>
          <w:color w:val="000000" w:themeColor="text1"/>
        </w:rPr>
        <w:fldChar w:fldCharType="separate"/>
      </w:r>
      <w:r w:rsidRPr="008E0C1D">
        <w:rPr>
          <w:rFonts w:eastAsia="Times New Roman"/>
          <w:noProof/>
          <w:color w:val="000000" w:themeColor="text1"/>
        </w:rPr>
        <w:t>(</w:t>
      </w:r>
      <w:r w:rsidRPr="008E0C1D">
        <w:rPr>
          <w:rFonts w:eastAsia="Times New Roman"/>
          <w:i/>
          <w:noProof/>
          <w:color w:val="000000" w:themeColor="text1"/>
        </w:rPr>
        <w:t>21</w:t>
      </w:r>
      <w:r w:rsidRPr="008E0C1D">
        <w:rPr>
          <w:rFonts w:eastAsia="Times New Roman"/>
          <w:noProof/>
          <w:color w:val="000000" w:themeColor="text1"/>
        </w:rPr>
        <w:t>)</w:t>
      </w:r>
      <w:r w:rsidRPr="008E0C1D">
        <w:rPr>
          <w:rFonts w:eastAsia="Times New Roman"/>
          <w:color w:val="000000" w:themeColor="text1"/>
        </w:rPr>
        <w:fldChar w:fldCharType="end"/>
      </w:r>
      <w:r w:rsidRPr="008E0C1D">
        <w:rPr>
          <w:rFonts w:eastAsia="Times New Roman"/>
          <w:color w:val="000000" w:themeColor="text1"/>
        </w:rPr>
        <w:t>.</w:t>
      </w:r>
      <w:r w:rsidR="009C2EDD" w:rsidRPr="008E0C1D">
        <w:rPr>
          <w:rFonts w:eastAsia="Times New Roman"/>
          <w:color w:val="000000" w:themeColor="text1"/>
        </w:rPr>
        <w:t xml:space="preserve"> (</w:t>
      </w:r>
      <w:r w:rsidR="009C2EDD" w:rsidRPr="008E0C1D">
        <w:rPr>
          <w:rFonts w:eastAsia="Times New Roman"/>
          <w:b/>
          <w:color w:val="000000" w:themeColor="text1"/>
        </w:rPr>
        <w:t>C</w:t>
      </w:r>
      <w:r w:rsidR="009C2EDD" w:rsidRPr="008E0C1D">
        <w:rPr>
          <w:rFonts w:eastAsia="Times New Roman"/>
          <w:color w:val="000000" w:themeColor="text1"/>
        </w:rPr>
        <w:t>)</w:t>
      </w:r>
      <w:r w:rsidRPr="008E0C1D">
        <w:rPr>
          <w:rFonts w:eastAsia="Times New Roman"/>
          <w:bCs/>
          <w:color w:val="000000" w:themeColor="text1"/>
        </w:rPr>
        <w:t>,</w:t>
      </w:r>
      <w:r w:rsidRPr="008E0C1D">
        <w:rPr>
          <w:rFonts w:eastAsia="Times New Roman"/>
          <w:color w:val="000000" w:themeColor="text1"/>
        </w:rPr>
        <w:t xml:space="preserve"> The rate of macroclimate change is plotted against the rate of microclimate change, with the black bisecting line representing the 1:1 relationship. </w:t>
      </w:r>
      <w:r w:rsidR="00572B71" w:rsidRPr="008E0C1D">
        <w:rPr>
          <w:rFonts w:eastAsia="Times New Roman"/>
          <w:color w:val="000000" w:themeColor="text1"/>
        </w:rPr>
        <w:t>M</w:t>
      </w:r>
      <w:r w:rsidR="00E41D37" w:rsidRPr="008E0C1D">
        <w:rPr>
          <w:rFonts w:eastAsia="Times New Roman"/>
          <w:color w:val="000000" w:themeColor="text1"/>
        </w:rPr>
        <w:t xml:space="preserve">icro- and macroclimate </w:t>
      </w:r>
      <w:r w:rsidR="00572B71" w:rsidRPr="008E0C1D">
        <w:rPr>
          <w:rFonts w:eastAsia="Times New Roman"/>
          <w:color w:val="000000" w:themeColor="text1"/>
        </w:rPr>
        <w:t>have both significantly warmed (see text for statistical results). The</w:t>
      </w:r>
      <w:r w:rsidRPr="008E0C1D">
        <w:rPr>
          <w:rFonts w:eastAsia="Times New Roman"/>
          <w:color w:val="000000" w:themeColor="text1"/>
        </w:rPr>
        <w:t xml:space="preserve"> distributions of values in the rates of micro- and macroclimate change are indicated by grey rugs on each axis. Microclimate change rates are 45 % more variable than macroclimate change rates and macroclimate change rates only accounted for about half of the variation in microclimate change rates, as indicated by the marginal (conditional) R-squared value of 0.52 (0.69).</w:t>
      </w:r>
      <w:r w:rsidR="0068050B" w:rsidRPr="008E0C1D">
        <w:rPr>
          <w:rFonts w:eastAsia="Times New Roman"/>
          <w:color w:val="000000" w:themeColor="text1"/>
        </w:rPr>
        <w:t xml:space="preserve"> </w:t>
      </w:r>
      <w:r w:rsidRPr="008E0C1D">
        <w:rPr>
          <w:rFonts w:eastAsia="Times New Roman"/>
          <w:color w:val="000000" w:themeColor="text1"/>
        </w:rPr>
        <w:t>All statistical results are based on mixed-effects models with region as a random-effect (intercept) term.</w:t>
      </w:r>
    </w:p>
    <w:p w14:paraId="3F7FDDFA" w14:textId="77777777" w:rsidR="00615848" w:rsidRPr="008E0C1D" w:rsidRDefault="00615848" w:rsidP="00610494">
      <w:pPr>
        <w:rPr>
          <w:rFonts w:eastAsia="Times New Roman"/>
          <w:color w:val="000000" w:themeColor="text1"/>
          <w:sz w:val="24"/>
          <w:szCs w:val="24"/>
        </w:rPr>
      </w:pPr>
    </w:p>
    <w:p w14:paraId="27738AE6" w14:textId="69CC0B6C"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 xml:space="preserve">We found that temporal changes in canopy cover varied greatly across the 56 European regions studied, ranging from -110 % (significant canopy opening) to +113 % (strong </w:t>
      </w:r>
      <w:r w:rsidRPr="008E0C1D">
        <w:rPr>
          <w:rFonts w:eastAsia="Times New Roman"/>
          <w:color w:val="000000" w:themeColor="text1"/>
          <w:sz w:val="24"/>
          <w:szCs w:val="24"/>
        </w:rPr>
        <w:lastRenderedPageBreak/>
        <w:t>densification of the canopy) (1st and 99th percentile of distribution, respectively) with a mean canopy cover change not significantly different from zero (+2.6 %; mixed-effects models</w:t>
      </w:r>
      <w:r w:rsidRPr="008E0C1D">
        <w:rPr>
          <w:rFonts w:eastAsia="Times New Roman"/>
          <w:i/>
          <w:color w:val="000000" w:themeColor="text1"/>
          <w:sz w:val="24"/>
          <w:szCs w:val="24"/>
        </w:rPr>
        <w:t xml:space="preserve"> P</w:t>
      </w:r>
      <w:r w:rsidRPr="008E0C1D">
        <w:rPr>
          <w:rFonts w:eastAsia="Times New Roman"/>
          <w:color w:val="000000" w:themeColor="text1"/>
          <w:sz w:val="24"/>
          <w:szCs w:val="24"/>
        </w:rPr>
        <w:t xml:space="preserve"> = 0.426, Fig. S3). To predict how the microclimate in the </w:t>
      </w:r>
      <w:r w:rsidR="00343018" w:rsidRPr="008E0C1D">
        <w:rPr>
          <w:rFonts w:eastAsia="Times New Roman"/>
          <w:color w:val="000000" w:themeColor="text1"/>
          <w:sz w:val="24"/>
          <w:szCs w:val="24"/>
        </w:rPr>
        <w:t>understorey</w:t>
      </w:r>
      <w:r w:rsidRPr="008E0C1D">
        <w:rPr>
          <w:rFonts w:eastAsia="Times New Roman"/>
          <w:color w:val="000000" w:themeColor="text1"/>
          <w:sz w:val="24"/>
          <w:szCs w:val="24"/>
        </w:rPr>
        <w:t xml:space="preserve"> of each plot had changed between the baseline survey and resurvey, we applied a previously published statistical model to estimate temperature buffering as a function of canopy </w:t>
      </w:r>
      <w:sdt>
        <w:sdtPr>
          <w:rPr>
            <w:color w:val="000000" w:themeColor="text1"/>
            <w:sz w:val="24"/>
            <w:szCs w:val="24"/>
          </w:rPr>
          <w:tag w:val="goog_rdk_2"/>
          <w:id w:val="-32497488"/>
        </w:sdtPr>
        <w:sdtEndPr/>
        <w:sdtContent/>
      </w:sdt>
      <w:r w:rsidRPr="008E0C1D">
        <w:rPr>
          <w:rFonts w:eastAsia="Times New Roman"/>
          <w:color w:val="000000" w:themeColor="text1"/>
          <w:sz w:val="24"/>
          <w:szCs w:val="24"/>
        </w:rPr>
        <w:t>cover</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A231E5" w:rsidRPr="008E0C1D">
        <w:rPr>
          <w:color w:val="000000" w:themeColor="text1"/>
          <w:sz w:val="24"/>
          <w:szCs w:val="24"/>
          <w:lang w:val="en-GB"/>
        </w:rPr>
        <w:instrText>ADDIN CSL_CITATION {"citationItems":[{"id":"ITEM-1","itemData":{"author":[{"dropping-particle":"","family":"Zellweger","given":"Florian","non-dropping-particle":"","parse-names":false,"suffix":""},{"dropping-particle":"","family":"Coomes","given":"David","non-dropping-particle":"","parse-names":false,"suffix":""},{"dropping-particle":"","family":"Lenoir","given":"Jonathan","non-dropping-particle":"","parse-names":false,"suffix":""},{"dropping-particle":"","family":"Depauw","given":"Leen","non-dropping-particle":"","parse-names":false,"suffix":""},{"dropping-particle":"","family":"Maes","given":"Sybryn L.","non-dropping-particle":"","parse-names":false,"suffix":""},{"dropping-particle":"","family":"Wulf","given":"Monika","non-dropping-particle":"","parse-names":false,"suffix":""},{"dropping-particle":"","family":"Kirby","given":"Keith","non-dropping-particle":"","parse-names":false,"suffix":""},{"dropping-particle":"","family":"Brunet","given":"Jörg","non-dropping-particle":"","parse-names":false,"suffix":""},{"dropping-particle":"","family":"Kopecky","given":"Martin","non-dropping-particle":"","parse-names":false,"suffix":""},{"dropping-particle":"","family":"Malis","given":"Frantisek","non-dropping-particle":"","parse-names":false,"suffix":""},{"dropping-particle":"","family":"Schmidt","given":"Wolfgang","non-dropping-particle":"","parse-names":false,"suffix":""},{"dropping-particle":"","family":"Heinrichs","given":"Steffi","non-dropping-particle":"","parse-names":false,"suffix":""},{"dropping-particle":"den","family":"Ouden","given":"Jan","non-dropping-particle":"","parse-names":false,"suffix":""},{"dropping-particle":"","family":"Jaroszewicz","given":"Bogdan","non-dropping-particle":"","parse-names":false,"suffix":""},{"dropping-particle":"","family":"Buyse","given":"Gauthier","non-dropping-particle":"","parse-names":false,"suffix":""},{"dropping-particle":"","family":"Spicher","given":"Fabien","non-dropping-particle":"","parse-names":false,"suffix":""},{"dropping-particle":"","family":"Verheyen","given":"Kris","non-dropping-particle":"","parse-names":false,"suffix":""},{"dropping-particle":"","family":"Frenne","given":"Pieter","non-dropping-particle":"De","parse-names":false,"suffix":""}],"container-title":"Global Ecology &amp; Biogeography","id":"ITEM-1","issue":"2","issued":{"date-parts":[["2019"]]},"page":"1774-1786","title":"Seasonal drivers of understorey temperature buffering in temperate deciduous forests across Europe","type":"article-journal","volume":"28"},"uris":["http://www.mendeley.com/documents/?uuid=2a780063-49c3-4c72-a916-4ebcc4b1b408"]},{"id":"ITEM-2","itemData":{"id":"ITEM-2","issued":{"date-parts":[["0"]]},"title":"Materials and methods are available as supplementary materials.","type":"report"},"uris":["http://www.mendeley.com/documents/?uuid=a9225e47-927f-404e-8d72-a5899583d055","http://www.mendeley.com/documents/?uuid=177cf7c0-480f-4823-8b96-a1836508aca6"]}],"mendeley":{"formattedCitation":"(&lt;i&gt;21&lt;/i&gt;, &lt;i&gt;23&lt;/i&gt;)","plainTextFormattedCitation":"(21, 23)","previouslyFormattedCitation":"(&lt;i&gt;21&lt;/i&gt;, &lt;i&gt;23&lt;/i&gt;)"},"properties":{"noteIndex":0},"schema":"https://github.com/citation-style-language/schema/raw/master/csl-citation.json"}</w:instrText>
      </w:r>
      <w:r w:rsidRPr="008E0C1D">
        <w:rPr>
          <w:color w:val="000000" w:themeColor="text1"/>
          <w:sz w:val="24"/>
          <w:szCs w:val="24"/>
          <w:lang w:val="en-GB"/>
        </w:rPr>
        <w:fldChar w:fldCharType="separate"/>
      </w:r>
      <w:r w:rsidR="00B47D0E" w:rsidRPr="008E0C1D">
        <w:rPr>
          <w:noProof/>
          <w:color w:val="000000" w:themeColor="text1"/>
          <w:sz w:val="24"/>
          <w:szCs w:val="24"/>
          <w:lang w:val="en-GB"/>
        </w:rPr>
        <w:t>(</w:t>
      </w:r>
      <w:r w:rsidR="00B47D0E" w:rsidRPr="008E0C1D">
        <w:rPr>
          <w:i/>
          <w:noProof/>
          <w:color w:val="000000" w:themeColor="text1"/>
          <w:sz w:val="24"/>
          <w:szCs w:val="24"/>
          <w:lang w:val="en-GB"/>
        </w:rPr>
        <w:t>21</w:t>
      </w:r>
      <w:r w:rsidR="00B47D0E" w:rsidRPr="008E0C1D">
        <w:rPr>
          <w:noProof/>
          <w:color w:val="000000" w:themeColor="text1"/>
          <w:sz w:val="24"/>
          <w:szCs w:val="24"/>
          <w:lang w:val="en-GB"/>
        </w:rPr>
        <w:t xml:space="preserve">, </w:t>
      </w:r>
      <w:r w:rsidR="00B47D0E" w:rsidRPr="008E0C1D">
        <w:rPr>
          <w:i/>
          <w:noProof/>
          <w:color w:val="000000" w:themeColor="text1"/>
          <w:sz w:val="24"/>
          <w:szCs w:val="24"/>
          <w:lang w:val="en-GB"/>
        </w:rPr>
        <w:t>23</w:t>
      </w:r>
      <w:r w:rsidR="00B47D0E"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xml:space="preserve"> (Fig. S2). </w:t>
      </w:r>
      <w:r w:rsidR="0071710C" w:rsidRPr="008E0C1D">
        <w:rPr>
          <w:rFonts w:eastAsia="Times New Roman"/>
          <w:color w:val="000000" w:themeColor="text1"/>
          <w:sz w:val="24"/>
          <w:szCs w:val="24"/>
        </w:rPr>
        <w:t>The predicted m</w:t>
      </w:r>
      <w:r w:rsidRPr="008E0C1D">
        <w:rPr>
          <w:rFonts w:eastAsia="Times New Roman"/>
          <w:color w:val="000000" w:themeColor="text1"/>
          <w:sz w:val="24"/>
          <w:szCs w:val="24"/>
        </w:rPr>
        <w:t>aximum temperatures in the forest understories have significantly warmed over the past decades, with mean (</w:t>
      </w:r>
      <w:r w:rsidR="00114EDC" w:rsidRPr="008E0C1D">
        <w:rPr>
          <w:rFonts w:eastAsia="Times New Roman"/>
          <w:color w:val="000000" w:themeColor="text1"/>
          <w:sz w:val="24"/>
          <w:szCs w:val="24"/>
        </w:rPr>
        <w:t>+/-</w:t>
      </w:r>
      <w:r w:rsidRPr="008E0C1D">
        <w:rPr>
          <w:rFonts w:eastAsia="Times New Roman"/>
          <w:color w:val="000000" w:themeColor="text1"/>
          <w:sz w:val="24"/>
          <w:szCs w:val="24"/>
        </w:rPr>
        <w:t xml:space="preserve"> standard error of the mean, </w:t>
      </w:r>
      <w:r w:rsidR="00114EDC" w:rsidRPr="008E0C1D">
        <w:rPr>
          <w:rFonts w:eastAsia="Times New Roman"/>
          <w:color w:val="000000" w:themeColor="text1"/>
          <w:sz w:val="24"/>
          <w:szCs w:val="24"/>
        </w:rPr>
        <w:t>SEM</w:t>
      </w:r>
      <w:r w:rsidRPr="008E0C1D">
        <w:rPr>
          <w:rFonts w:eastAsia="Times New Roman"/>
          <w:color w:val="000000" w:themeColor="text1"/>
          <w:sz w:val="24"/>
          <w:szCs w:val="24"/>
        </w:rPr>
        <w:t xml:space="preserve">) rates of 0.40 </w:t>
      </w:r>
      <w:r w:rsidR="00114EDC" w:rsidRPr="008E0C1D">
        <w:rPr>
          <w:rFonts w:eastAsia="Times New Roman"/>
          <w:color w:val="000000" w:themeColor="text1"/>
          <w:sz w:val="24"/>
          <w:szCs w:val="24"/>
        </w:rPr>
        <w:t>+/-</w:t>
      </w:r>
      <w:r w:rsidRPr="008E0C1D">
        <w:rPr>
          <w:rFonts w:eastAsia="Times New Roman"/>
          <w:color w:val="000000" w:themeColor="text1"/>
          <w:sz w:val="24"/>
          <w:szCs w:val="24"/>
        </w:rPr>
        <w:t xml:space="preserve"> 0.04 °C and 0.38 </w:t>
      </w:r>
      <w:r w:rsidR="00114EDC" w:rsidRPr="008E0C1D">
        <w:rPr>
          <w:rFonts w:eastAsia="Times New Roman"/>
          <w:color w:val="000000" w:themeColor="text1"/>
          <w:sz w:val="24"/>
          <w:szCs w:val="24"/>
        </w:rPr>
        <w:t>+/-</w:t>
      </w:r>
      <w:r w:rsidRPr="008E0C1D">
        <w:rPr>
          <w:rFonts w:eastAsia="Times New Roman"/>
          <w:color w:val="000000" w:themeColor="text1"/>
          <w:sz w:val="24"/>
          <w:szCs w:val="24"/>
        </w:rPr>
        <w:t xml:space="preserve"> 0.03 °C per decade</w:t>
      </w:r>
      <w:r w:rsidRPr="008E0C1D">
        <w:rPr>
          <w:color w:val="000000" w:themeColor="text1"/>
          <w:sz w:val="24"/>
          <w:szCs w:val="24"/>
        </w:rPr>
        <w:t xml:space="preserve"> </w:t>
      </w:r>
      <w:r w:rsidRPr="008E0C1D">
        <w:rPr>
          <w:rFonts w:eastAsia="Times New Roman"/>
          <w:color w:val="000000" w:themeColor="text1"/>
          <w:sz w:val="24"/>
          <w:szCs w:val="24"/>
        </w:rPr>
        <w:t xml:space="preserve">for micro- and macroclimate warming, respectively (both estimates of warming rates are based on mixed-effects models: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&lt; 0.001). Yet, the rate of microclimate change was 45 % more variable (1</w:t>
      </w:r>
      <w:r w:rsidRPr="008E0C1D">
        <w:rPr>
          <w:rFonts w:eastAsia="Times New Roman"/>
          <w:color w:val="000000" w:themeColor="text1"/>
          <w:sz w:val="24"/>
          <w:szCs w:val="24"/>
          <w:vertAlign w:val="superscript"/>
        </w:rPr>
        <w:t>st</w:t>
      </w:r>
      <w:r w:rsidRPr="008E0C1D">
        <w:rPr>
          <w:rFonts w:eastAsia="Times New Roman"/>
          <w:color w:val="000000" w:themeColor="text1"/>
          <w:sz w:val="24"/>
          <w:szCs w:val="24"/>
        </w:rPr>
        <w:t xml:space="preserve"> and 99</w:t>
      </w:r>
      <w:r w:rsidRPr="008E0C1D">
        <w:rPr>
          <w:rFonts w:eastAsia="Times New Roman"/>
          <w:color w:val="000000" w:themeColor="text1"/>
          <w:sz w:val="24"/>
          <w:szCs w:val="24"/>
          <w:vertAlign w:val="superscript"/>
        </w:rPr>
        <w:t>th</w:t>
      </w:r>
      <w:r w:rsidRPr="008E0C1D">
        <w:rPr>
          <w:rFonts w:eastAsia="Times New Roman"/>
          <w:color w:val="000000" w:themeColor="text1"/>
          <w:sz w:val="24"/>
          <w:szCs w:val="24"/>
        </w:rPr>
        <w:t xml:space="preserve"> percentiles: -0.32 – 1.36 °C per decade) than the rate of macroclimate change (1</w:t>
      </w:r>
      <w:r w:rsidRPr="008E0C1D">
        <w:rPr>
          <w:rFonts w:eastAsia="Times New Roman"/>
          <w:color w:val="000000" w:themeColor="text1"/>
          <w:sz w:val="24"/>
          <w:szCs w:val="24"/>
          <w:vertAlign w:val="superscript"/>
        </w:rPr>
        <w:t>st</w:t>
      </w:r>
      <w:r w:rsidRPr="008E0C1D">
        <w:rPr>
          <w:rFonts w:eastAsia="Times New Roman"/>
          <w:color w:val="000000" w:themeColor="text1"/>
          <w:sz w:val="24"/>
          <w:szCs w:val="24"/>
        </w:rPr>
        <w:t xml:space="preserve"> and 99</w:t>
      </w:r>
      <w:r w:rsidRPr="008E0C1D">
        <w:rPr>
          <w:rFonts w:eastAsia="Times New Roman"/>
          <w:color w:val="000000" w:themeColor="text1"/>
          <w:sz w:val="24"/>
          <w:szCs w:val="24"/>
          <w:vertAlign w:val="superscript"/>
        </w:rPr>
        <w:t>th</w:t>
      </w:r>
      <w:r w:rsidRPr="008E0C1D">
        <w:rPr>
          <w:rFonts w:eastAsia="Times New Roman"/>
          <w:color w:val="000000" w:themeColor="text1"/>
          <w:sz w:val="24"/>
          <w:szCs w:val="24"/>
        </w:rPr>
        <w:t xml:space="preserve"> percentiles: -0.08 – 1.08 °C per decade) (Fig. S4). The rate of macroclimate change was significantly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&lt; 0.001) related to the rate of microclimate change, but left 48 % of the total variation in microclimate change unexplained (slope: 1.05, R-squared: 0.52,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&lt; 0.001) (Fig. 1</w:t>
      </w:r>
      <w:r w:rsidR="009C2EDD" w:rsidRPr="008E0C1D">
        <w:rPr>
          <w:rFonts w:eastAsia="Times New Roman"/>
          <w:color w:val="000000" w:themeColor="text1"/>
          <w:sz w:val="24"/>
          <w:szCs w:val="24"/>
        </w:rPr>
        <w:t>C</w:t>
      </w:r>
      <w:r w:rsidRPr="008E0C1D">
        <w:rPr>
          <w:rFonts w:eastAsia="Times New Roman"/>
          <w:color w:val="000000" w:themeColor="text1"/>
          <w:sz w:val="24"/>
          <w:szCs w:val="24"/>
        </w:rPr>
        <w:t>).</w:t>
      </w:r>
    </w:p>
    <w:p w14:paraId="16A4738C" w14:textId="0523FF27"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To quantify the thermophilisation, we inferred the thermal affinity for each vascular plant species present in our dataset from its current distribution ranges. Using these species-specific temperature affinity values, we calculated the rate of change in the community-</w:t>
      </w:r>
      <w:r w:rsidR="00AE0D6D" w:rsidRPr="008E0C1D">
        <w:rPr>
          <w:rFonts w:eastAsia="Times New Roman"/>
          <w:color w:val="000000" w:themeColor="text1"/>
          <w:sz w:val="24"/>
          <w:szCs w:val="24"/>
        </w:rPr>
        <w:t xml:space="preserve">based </w:t>
      </w:r>
      <w:r w:rsidRPr="008E0C1D">
        <w:rPr>
          <w:rFonts w:eastAsia="Times New Roman"/>
          <w:color w:val="000000" w:themeColor="text1"/>
          <w:sz w:val="24"/>
          <w:szCs w:val="24"/>
        </w:rPr>
        <w:t>maximum temperature affinity values between the resurvey and baseline survey</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A231E5" w:rsidRPr="008E0C1D">
        <w:rPr>
          <w:color w:val="000000" w:themeColor="text1"/>
          <w:sz w:val="24"/>
          <w:szCs w:val="24"/>
          <w:lang w:val="en-GB"/>
        </w:rPr>
        <w:instrText>ADDIN CSL_CITATION {"citationItems":[{"id":"ITEM-1","itemData":{"DOI":"10.1073/pnas.1311190110","ISSN":"1091-6490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Sciences","id":"ITEM-1","issue":"46","issued":{"date-parts":[["2013"]]},"note":"De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warming","type":"article-journal","volume":"110"},"uris":["http://www.mendeley.com/documents/?uuid=c5cd6296-0009-481e-a850-31476cea3e9e"]},{"id":"ITEM-2","itemData":{"id":"ITEM-2","issued":{"date-parts":[["0"]]},"title":"Materials and methods are available as supplementary materials.","type":"report"},"uris":["http://www.mendeley.com/documents/?uuid=a9225e47-927f-404e-8d72-a5899583d055","http://www.mendeley.com/documents/?uuid=177cf7c0-480f-4823-8b96-a1836508aca6"]}],"mendeley":{"formattedCitation":"(&lt;i&gt;14&lt;/i&gt;, &lt;i&gt;23&lt;/i&gt;)","plainTextFormattedCitation":"(14, 23)","previouslyFormattedCitation":"(&lt;i&gt;14&lt;/i&gt;, &lt;i&gt;23&lt;/i&gt;)"},"properties":{"noteIndex":0},"schema":"https://github.com/citation-style-language/schema/raw/master/csl-citation.json"}</w:instrText>
      </w:r>
      <w:r w:rsidRPr="008E0C1D">
        <w:rPr>
          <w:color w:val="000000" w:themeColor="text1"/>
          <w:sz w:val="24"/>
          <w:szCs w:val="24"/>
          <w:lang w:val="en-GB"/>
        </w:rPr>
        <w:fldChar w:fldCharType="separate"/>
      </w:r>
      <w:r w:rsidR="00B47D0E" w:rsidRPr="008E0C1D">
        <w:rPr>
          <w:noProof/>
          <w:color w:val="000000" w:themeColor="text1"/>
          <w:sz w:val="24"/>
          <w:szCs w:val="24"/>
          <w:lang w:val="en-GB"/>
        </w:rPr>
        <w:t>(</w:t>
      </w:r>
      <w:r w:rsidR="00B47D0E" w:rsidRPr="008E0C1D">
        <w:rPr>
          <w:i/>
          <w:noProof/>
          <w:color w:val="000000" w:themeColor="text1"/>
          <w:sz w:val="24"/>
          <w:szCs w:val="24"/>
          <w:lang w:val="en-GB"/>
        </w:rPr>
        <w:t>14</w:t>
      </w:r>
      <w:r w:rsidR="00B47D0E" w:rsidRPr="008E0C1D">
        <w:rPr>
          <w:noProof/>
          <w:color w:val="000000" w:themeColor="text1"/>
          <w:sz w:val="24"/>
          <w:szCs w:val="24"/>
          <w:lang w:val="en-GB"/>
        </w:rPr>
        <w:t xml:space="preserve">, </w:t>
      </w:r>
      <w:r w:rsidR="00B47D0E" w:rsidRPr="008E0C1D">
        <w:rPr>
          <w:i/>
          <w:noProof/>
          <w:color w:val="000000" w:themeColor="text1"/>
          <w:sz w:val="24"/>
          <w:szCs w:val="24"/>
          <w:lang w:val="en-GB"/>
        </w:rPr>
        <w:t>23</w:t>
      </w:r>
      <w:r w:rsidR="00B47D0E"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xml:space="preserve"> (Fig. S</w:t>
      </w:r>
      <w:r w:rsidR="00AE0D6D" w:rsidRPr="008E0C1D">
        <w:rPr>
          <w:rFonts w:eastAsia="Times New Roman"/>
          <w:color w:val="000000" w:themeColor="text1"/>
          <w:sz w:val="24"/>
          <w:szCs w:val="24"/>
        </w:rPr>
        <w:t>6</w:t>
      </w:r>
      <w:r w:rsidRPr="008E0C1D">
        <w:rPr>
          <w:rFonts w:eastAsia="Times New Roman"/>
          <w:color w:val="000000" w:themeColor="text1"/>
          <w:sz w:val="24"/>
          <w:szCs w:val="24"/>
        </w:rPr>
        <w:t xml:space="preserve">). We expected changes in maximum temperature affinity values to be most closely related to changes in micro- and macroclimate maximum temperatures during the growing season </w:t>
      </w:r>
      <w:r w:rsidR="003636B1" w:rsidRPr="008E0C1D">
        <w:rPr>
          <w:rFonts w:eastAsia="Times New Roman"/>
          <w:color w:val="000000" w:themeColor="text1"/>
          <w:sz w:val="24"/>
          <w:szCs w:val="24"/>
        </w:rPr>
        <w:fldChar w:fldCharType="begin" w:fldLock="1"/>
      </w:r>
      <w:r w:rsidR="00A231E5" w:rsidRPr="008E0C1D">
        <w:rPr>
          <w:rFonts w:eastAsia="Times New Roman"/>
          <w:color w:val="000000" w:themeColor="text1"/>
          <w:sz w:val="24"/>
          <w:szCs w:val="24"/>
        </w:rPr>
        <w:instrText>ADDIN CSL_CITATION {"citationItems":[{"id":"ITEM-1","itemData":{"id":"ITEM-1","issued":{"date-parts":[["0"]]},"title":"Materials and methods are available as supplementary materials.","type":"report"},"uris":["http://www.mendeley.com/documents/?uuid=a9225e47-927f-404e-8d72-a5899583d055","http://www.mendeley.com/documents/?uuid=177cf7c0-480f-4823-8b96-a1836508aca6"]}],"mendeley":{"formattedCitation":"(&lt;i&gt;23&lt;/i&gt;)","plainTextFormattedCitation":"(23)","previouslyFormattedCitation":"(&lt;i&gt;23&lt;/i&gt;)"},"properties":{"noteIndex":0},"schema":"https://github.com/citation-style-language/schema/raw/master/csl-citation.json"}</w:instrText>
      </w:r>
      <w:r w:rsidR="003636B1" w:rsidRPr="008E0C1D">
        <w:rPr>
          <w:rFonts w:eastAsia="Times New Roman"/>
          <w:color w:val="000000" w:themeColor="text1"/>
          <w:sz w:val="24"/>
          <w:szCs w:val="24"/>
        </w:rPr>
        <w:fldChar w:fldCharType="separate"/>
      </w:r>
      <w:r w:rsidR="003636B1" w:rsidRPr="008E0C1D">
        <w:rPr>
          <w:rFonts w:eastAsia="Times New Roman"/>
          <w:noProof/>
          <w:color w:val="000000" w:themeColor="text1"/>
          <w:sz w:val="24"/>
          <w:szCs w:val="24"/>
        </w:rPr>
        <w:t>(</w:t>
      </w:r>
      <w:r w:rsidR="003636B1" w:rsidRPr="008E0C1D">
        <w:rPr>
          <w:rFonts w:eastAsia="Times New Roman"/>
          <w:i/>
          <w:noProof/>
          <w:color w:val="000000" w:themeColor="text1"/>
          <w:sz w:val="24"/>
          <w:szCs w:val="24"/>
        </w:rPr>
        <w:t>23</w:t>
      </w:r>
      <w:r w:rsidR="003636B1" w:rsidRPr="008E0C1D">
        <w:rPr>
          <w:rFonts w:eastAsia="Times New Roman"/>
          <w:noProof/>
          <w:color w:val="000000" w:themeColor="text1"/>
          <w:sz w:val="24"/>
          <w:szCs w:val="24"/>
        </w:rPr>
        <w:t>)</w:t>
      </w:r>
      <w:r w:rsidR="003636B1" w:rsidRPr="008E0C1D">
        <w:rPr>
          <w:rFonts w:eastAsia="Times New Roman"/>
          <w:color w:val="000000" w:themeColor="text1"/>
          <w:sz w:val="24"/>
          <w:szCs w:val="24"/>
        </w:rPr>
        <w:fldChar w:fldCharType="end"/>
      </w:r>
      <w:r w:rsidRPr="008E0C1D">
        <w:rPr>
          <w:rFonts w:eastAsia="Times New Roman"/>
          <w:color w:val="000000" w:themeColor="text1"/>
          <w:sz w:val="24"/>
          <w:szCs w:val="24"/>
        </w:rPr>
        <w:t>. This biotic reconstruction of temperature changes based on the observed changes in the composition of species assemblages has been widely used to assess community-level climate-change impacts in a variety of terrestrial and marine taxa</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J.","non-dropping-particle":"","parse-names":false,"suffix":""}],"container-title":"Nature","id":"ITEM-1","issued":{"date-parts":[["2018"]]},"page":"207-212","title":"Widespread but heterogeneous responses of Andean forests to climate change","type":"article-journal","volume":"564"},"uris":["http://www.mendeley.com/documents/?uuid=e6257b7d-4e8d-420d-97c0-5fa102877df9"]},{"id":"ITEM-2","itemData":{"DOI":"10.1073/pnas.1311190110","ISSN":"1091-6490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Sciences","id":"ITEM-2","issue":"46","issued":{"date-parts":[["2013"]]},"note":"De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warming","type":"article-journal","volume":"110"},"uris":["http://www.mendeley.com/documents/?uuid=c5cd6296-0009-481e-a850-31476cea3e9e"]},{"id":"ITEM-3","itemData":{"DOI":"10.1038/nclimate1347","ISSN":"1758-678X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Change","id":"ITEM-3","issue":"2","issued":{"date-parts":[["2012"]]},"page":"121-124","title":"Differences in the climatic debts of birds and butterflies at a continental scale","type":"article-journal","volume":"2"},"uris":["http://www.mendeley.com/documents/?uuid=d4b4f2cc-358a-473b-8a16-0667af85637b"]}],"mendeley":{"formattedCitation":"(&lt;i&gt;12&lt;/i&gt;–&lt;i&gt;14&lt;/i&gt;)","plainTextFormattedCitation":"(12–14)","previouslyFormattedCitation":"(&lt;i&gt;12&lt;/i&gt;–&lt;i&gt;14&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12</w:t>
      </w:r>
      <w:r w:rsidR="004549C6" w:rsidRPr="008E0C1D">
        <w:rPr>
          <w:noProof/>
          <w:color w:val="000000" w:themeColor="text1"/>
          <w:sz w:val="24"/>
          <w:szCs w:val="24"/>
          <w:lang w:val="en-GB"/>
        </w:rPr>
        <w:t>–</w:t>
      </w:r>
      <w:r w:rsidR="004549C6" w:rsidRPr="008E0C1D">
        <w:rPr>
          <w:i/>
          <w:noProof/>
          <w:color w:val="000000" w:themeColor="text1"/>
          <w:sz w:val="24"/>
          <w:szCs w:val="24"/>
          <w:lang w:val="en-GB"/>
        </w:rPr>
        <w:t>14</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xml:space="preserve">. The resulting thermophilisation rates across the 2955 permanent plots ranged from -0.84 to 1.05 °C per decade, with a mean of 0.01 </w:t>
      </w:r>
      <w:r w:rsidR="00114EDC" w:rsidRPr="008E0C1D">
        <w:rPr>
          <w:rFonts w:eastAsia="Times New Roman"/>
          <w:color w:val="000000" w:themeColor="text1"/>
          <w:sz w:val="24"/>
          <w:szCs w:val="24"/>
        </w:rPr>
        <w:t>+/-</w:t>
      </w:r>
      <w:r w:rsidRPr="008E0C1D">
        <w:rPr>
          <w:rFonts w:eastAsia="Times New Roman"/>
          <w:color w:val="000000" w:themeColor="text1"/>
          <w:sz w:val="24"/>
          <w:szCs w:val="24"/>
        </w:rPr>
        <w:t xml:space="preserve"> 0.01</w:t>
      </w:r>
      <w:r w:rsidR="00114EDC" w:rsidRPr="008E0C1D">
        <w:rPr>
          <w:rFonts w:eastAsia="Times New Roman"/>
          <w:color w:val="000000" w:themeColor="text1"/>
          <w:sz w:val="24"/>
          <w:szCs w:val="24"/>
        </w:rPr>
        <w:t xml:space="preserve"> (SEM)</w:t>
      </w:r>
      <w:r w:rsidRPr="008E0C1D">
        <w:rPr>
          <w:rFonts w:eastAsia="Times New Roman"/>
          <w:color w:val="000000" w:themeColor="text1"/>
          <w:sz w:val="24"/>
          <w:szCs w:val="24"/>
        </w:rPr>
        <w:t xml:space="preserve"> °C that was not significantly different from zero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 0.09) </w:t>
      </w:r>
      <w:r w:rsidR="00B47D0E" w:rsidRPr="008E0C1D">
        <w:rPr>
          <w:rFonts w:eastAsia="Times New Roman"/>
          <w:color w:val="000000" w:themeColor="text1"/>
          <w:sz w:val="24"/>
          <w:szCs w:val="24"/>
        </w:rPr>
        <w:fldChar w:fldCharType="begin" w:fldLock="1"/>
      </w:r>
      <w:r w:rsidR="00A231E5" w:rsidRPr="008E0C1D">
        <w:rPr>
          <w:rFonts w:eastAsia="Times New Roman"/>
          <w:color w:val="000000" w:themeColor="text1"/>
          <w:sz w:val="24"/>
          <w:szCs w:val="24"/>
        </w:rPr>
        <w:instrText>ADDIN CSL_CITATION {"citationItems":[{"id":"ITEM-1","itemData":{"id":"ITEM-1","issued":{"date-parts":[["0"]]},"title":"Materials and methods are available as supplementary materials.","type":"report"},"uris":["http://www.mendeley.com/documents/?uuid=a9225e47-927f-404e-8d72-a5899583d055","http://www.mendeley.com/documents/?uuid=177cf7c0-480f-4823-8b96-a1836508aca6"]}],"mendeley":{"formattedCitation":"(&lt;i&gt;23&lt;/i&gt;)","plainTextFormattedCitation":"(23)","previouslyFormattedCitation":"(&lt;i&gt;23&lt;/i&gt;)"},"properties":{"noteIndex":0},"schema":"https://github.com/citation-style-language/schema/raw/master/csl-citation.json"}</w:instrText>
      </w:r>
      <w:r w:rsidR="00B47D0E" w:rsidRPr="008E0C1D">
        <w:rPr>
          <w:rFonts w:eastAsia="Times New Roman"/>
          <w:color w:val="000000" w:themeColor="text1"/>
          <w:sz w:val="24"/>
          <w:szCs w:val="24"/>
        </w:rPr>
        <w:fldChar w:fldCharType="separate"/>
      </w:r>
      <w:r w:rsidR="00B47D0E" w:rsidRPr="008E0C1D">
        <w:rPr>
          <w:rFonts w:eastAsia="Times New Roman"/>
          <w:noProof/>
          <w:color w:val="000000" w:themeColor="text1"/>
          <w:sz w:val="24"/>
          <w:szCs w:val="24"/>
        </w:rPr>
        <w:t>(</w:t>
      </w:r>
      <w:r w:rsidR="00B47D0E" w:rsidRPr="008E0C1D">
        <w:rPr>
          <w:rFonts w:eastAsia="Times New Roman"/>
          <w:i/>
          <w:noProof/>
          <w:color w:val="000000" w:themeColor="text1"/>
          <w:sz w:val="24"/>
          <w:szCs w:val="24"/>
        </w:rPr>
        <w:t>23</w:t>
      </w:r>
      <w:r w:rsidR="00B47D0E" w:rsidRPr="008E0C1D">
        <w:rPr>
          <w:rFonts w:eastAsia="Times New Roman"/>
          <w:noProof/>
          <w:color w:val="000000" w:themeColor="text1"/>
          <w:sz w:val="24"/>
          <w:szCs w:val="24"/>
        </w:rPr>
        <w:t>)</w:t>
      </w:r>
      <w:r w:rsidR="00B47D0E" w:rsidRPr="008E0C1D">
        <w:rPr>
          <w:rFonts w:eastAsia="Times New Roman"/>
          <w:color w:val="000000" w:themeColor="text1"/>
          <w:sz w:val="24"/>
          <w:szCs w:val="24"/>
        </w:rPr>
        <w:fldChar w:fldCharType="end"/>
      </w:r>
      <w:r w:rsidRPr="008E0C1D">
        <w:rPr>
          <w:rFonts w:eastAsia="Times New Roman"/>
          <w:color w:val="000000" w:themeColor="text1"/>
          <w:sz w:val="24"/>
          <w:szCs w:val="24"/>
        </w:rPr>
        <w:t xml:space="preserve">. Remarkably, the thermophilisation rate of forest </w:t>
      </w:r>
      <w:r w:rsidR="00343018" w:rsidRPr="008E0C1D">
        <w:rPr>
          <w:rFonts w:eastAsia="Times New Roman"/>
          <w:color w:val="000000" w:themeColor="text1"/>
          <w:sz w:val="24"/>
          <w:szCs w:val="24"/>
        </w:rPr>
        <w:t>understorey</w:t>
      </w:r>
      <w:r w:rsidRPr="008E0C1D">
        <w:rPr>
          <w:rFonts w:eastAsia="Times New Roman"/>
          <w:color w:val="000000" w:themeColor="text1"/>
          <w:sz w:val="24"/>
          <w:szCs w:val="24"/>
        </w:rPr>
        <w:t xml:space="preserve"> vegetation was positively linked to the rate of microclimate warming (scaled slope estimate: 0.02, 95</w:t>
      </w:r>
      <w:r w:rsidRPr="008E0C1D">
        <w:rPr>
          <w:rFonts w:eastAsia="Times New Roman"/>
          <w:color w:val="000000" w:themeColor="text1"/>
          <w:sz w:val="24"/>
          <w:szCs w:val="24"/>
          <w:vertAlign w:val="superscript"/>
        </w:rPr>
        <w:t>th</w:t>
      </w:r>
      <w:r w:rsidRPr="008E0C1D">
        <w:rPr>
          <w:rFonts w:eastAsia="Times New Roman"/>
          <w:color w:val="000000" w:themeColor="text1"/>
          <w:sz w:val="24"/>
          <w:szCs w:val="24"/>
        </w:rPr>
        <w:t xml:space="preserve"> confidence interval (CI): 0.01 – 0.03,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&lt; 0.001), but not to macroclimate warming (scaled slope estimate: </w:t>
      </w:r>
      <w:r w:rsidR="007C17A3" w:rsidRPr="008E0C1D">
        <w:rPr>
          <w:rFonts w:eastAsia="Times New Roman"/>
          <w:color w:val="000000" w:themeColor="text1"/>
          <w:sz w:val="24"/>
          <w:szCs w:val="24"/>
        </w:rPr>
        <w:t>-0.002</w:t>
      </w:r>
      <w:r w:rsidRPr="008E0C1D">
        <w:rPr>
          <w:rFonts w:eastAsia="Times New Roman"/>
          <w:color w:val="000000" w:themeColor="text1"/>
          <w:sz w:val="24"/>
          <w:szCs w:val="24"/>
        </w:rPr>
        <w:t xml:space="preserve">, CI: -0.01 – 0.01, </w:t>
      </w:r>
      <w:r w:rsidRPr="008E0C1D">
        <w:rPr>
          <w:rFonts w:eastAsia="Times New Roman"/>
          <w:i/>
          <w:color w:val="000000" w:themeColor="text1"/>
          <w:sz w:val="24"/>
          <w:szCs w:val="24"/>
        </w:rPr>
        <w:t>P</w:t>
      </w:r>
      <w:r w:rsidRPr="008E0C1D">
        <w:rPr>
          <w:rFonts w:eastAsia="Times New Roman"/>
          <w:color w:val="000000" w:themeColor="text1"/>
          <w:sz w:val="24"/>
          <w:szCs w:val="24"/>
        </w:rPr>
        <w:t xml:space="preserve"> = 0.70) (Fig. 2).</w:t>
      </w:r>
    </w:p>
    <w:p w14:paraId="51003C34" w14:textId="77777777" w:rsidR="00972F22" w:rsidRPr="008E0C1D" w:rsidRDefault="00972F22" w:rsidP="00610494">
      <w:pPr>
        <w:ind w:firstLine="720"/>
        <w:rPr>
          <w:rFonts w:eastAsia="Times New Roman"/>
          <w:color w:val="000000" w:themeColor="text1"/>
          <w:sz w:val="24"/>
          <w:szCs w:val="24"/>
        </w:rPr>
      </w:pPr>
    </w:p>
    <w:p w14:paraId="3DF17B1B" w14:textId="7A9012A2" w:rsidR="00615848" w:rsidRPr="008E0C1D" w:rsidRDefault="00972F22" w:rsidP="00610494">
      <w:pPr>
        <w:ind w:firstLine="720"/>
        <w:rPr>
          <w:rFonts w:eastAsia="Times New Roman"/>
          <w:color w:val="000000" w:themeColor="text1"/>
          <w:sz w:val="24"/>
          <w:szCs w:val="24"/>
        </w:rPr>
      </w:pPr>
      <w:r w:rsidRPr="008E0C1D">
        <w:rPr>
          <w:rFonts w:eastAsia="Times New Roman"/>
          <w:noProof/>
          <w:color w:val="000000" w:themeColor="text1"/>
          <w:sz w:val="24"/>
          <w:szCs w:val="24"/>
        </w:rPr>
        <w:drawing>
          <wp:inline distT="0" distB="0" distL="0" distR="0" wp14:anchorId="0427D328" wp14:editId="7AA0E6FB">
            <wp:extent cx="2905760" cy="1805093"/>
            <wp:effectExtent l="0" t="0" r="254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2.jpg"/>
                    <pic:cNvPicPr/>
                  </pic:nvPicPr>
                  <pic:blipFill>
                    <a:blip r:embed="rId10"/>
                    <a:stretch>
                      <a:fillRect/>
                    </a:stretch>
                  </pic:blipFill>
                  <pic:spPr>
                    <a:xfrm>
                      <a:off x="0" y="0"/>
                      <a:ext cx="2938154" cy="1825217"/>
                    </a:xfrm>
                    <a:prstGeom prst="rect">
                      <a:avLst/>
                    </a:prstGeom>
                  </pic:spPr>
                </pic:pic>
              </a:graphicData>
            </a:graphic>
          </wp:inline>
        </w:drawing>
      </w:r>
    </w:p>
    <w:p w14:paraId="740C8BF4" w14:textId="36537CBD" w:rsidR="00615848" w:rsidRPr="008E0C1D" w:rsidRDefault="00615848" w:rsidP="00610494">
      <w:pPr>
        <w:rPr>
          <w:rFonts w:eastAsia="Times New Roman"/>
          <w:color w:val="000000" w:themeColor="text1"/>
        </w:rPr>
      </w:pPr>
      <w:r w:rsidRPr="008E0C1D">
        <w:rPr>
          <w:rFonts w:eastAsia="Times New Roman"/>
          <w:b/>
          <w:color w:val="000000" w:themeColor="text1"/>
        </w:rPr>
        <w:t>Fig. 2</w:t>
      </w:r>
      <w:r w:rsidR="00C761F3" w:rsidRPr="008E0C1D">
        <w:rPr>
          <w:rFonts w:eastAsia="Times New Roman"/>
          <w:b/>
          <w:color w:val="000000" w:themeColor="text1"/>
        </w:rPr>
        <w:t>.</w:t>
      </w:r>
      <w:r w:rsidRPr="008E0C1D">
        <w:rPr>
          <w:rFonts w:eastAsia="Times New Roman"/>
          <w:color w:val="000000" w:themeColor="text1"/>
        </w:rPr>
        <w:t xml:space="preserve"> </w:t>
      </w:r>
      <w:r w:rsidRPr="008E0C1D">
        <w:rPr>
          <w:rFonts w:eastAsia="Times New Roman"/>
          <w:b/>
          <w:bCs/>
          <w:color w:val="000000" w:themeColor="text1"/>
        </w:rPr>
        <w:t xml:space="preserve">Thermophilistaion in forest </w:t>
      </w:r>
      <w:r w:rsidR="00343018" w:rsidRPr="008E0C1D">
        <w:rPr>
          <w:rFonts w:eastAsia="Times New Roman"/>
          <w:b/>
          <w:bCs/>
          <w:color w:val="000000" w:themeColor="text1"/>
        </w:rPr>
        <w:t>understorey</w:t>
      </w:r>
      <w:r w:rsidRPr="008E0C1D">
        <w:rPr>
          <w:rFonts w:eastAsia="Times New Roman"/>
          <w:b/>
          <w:bCs/>
          <w:color w:val="000000" w:themeColor="text1"/>
        </w:rPr>
        <w:t xml:space="preserve"> plant communities is related to microclimate change, not to macroclimate change.</w:t>
      </w:r>
      <w:r w:rsidRPr="008E0C1D">
        <w:rPr>
          <w:rFonts w:eastAsia="Times New Roman"/>
          <w:color w:val="000000" w:themeColor="text1"/>
        </w:rPr>
        <w:t xml:space="preserve"> Thermophilisation rates increase with increasing microclimate warming of maximum temperatures during the growing season (Tmax), as shown by the regression slope and 95</w:t>
      </w:r>
      <w:r w:rsidRPr="008E0C1D">
        <w:rPr>
          <w:rFonts w:eastAsia="Times New Roman"/>
          <w:color w:val="000000" w:themeColor="text1"/>
          <w:vertAlign w:val="superscript"/>
        </w:rPr>
        <w:t xml:space="preserve"> </w:t>
      </w:r>
      <w:r w:rsidRPr="008E0C1D">
        <w:rPr>
          <w:rFonts w:eastAsia="Times New Roman"/>
          <w:color w:val="000000" w:themeColor="text1"/>
        </w:rPr>
        <w:t>% confidence intervals for microclimate. The thermophilisation rate was not statistically related to the rate of macroclimate warming (see text for statistical results).</w:t>
      </w:r>
    </w:p>
    <w:p w14:paraId="206204FB" w14:textId="77777777" w:rsidR="00615848" w:rsidRPr="008E0C1D" w:rsidRDefault="00615848" w:rsidP="00610494">
      <w:pPr>
        <w:rPr>
          <w:rFonts w:eastAsia="Times New Roman"/>
          <w:color w:val="000000" w:themeColor="text1"/>
          <w:sz w:val="24"/>
          <w:szCs w:val="24"/>
        </w:rPr>
      </w:pPr>
    </w:p>
    <w:p w14:paraId="6B65D60A" w14:textId="52F4F633"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lastRenderedPageBreak/>
        <w:t>To quantify how forest microclimate affected the observed climatic debt accumulated by a plant community in a given plot, we subtracted the thermophilisation rate (∆T</w:t>
      </w:r>
      <w:r w:rsidRPr="008E0C1D">
        <w:rPr>
          <w:rFonts w:eastAsia="Times New Roman"/>
          <w:color w:val="000000" w:themeColor="text1"/>
          <w:sz w:val="24"/>
          <w:szCs w:val="24"/>
          <w:vertAlign w:val="subscript"/>
        </w:rPr>
        <w:t>plant</w:t>
      </w:r>
      <w:r w:rsidRPr="008E0C1D">
        <w:rPr>
          <w:rFonts w:eastAsia="Times New Roman"/>
          <w:color w:val="000000" w:themeColor="text1"/>
          <w:sz w:val="24"/>
          <w:szCs w:val="24"/>
        </w:rPr>
        <w:t>) per unit of time (∆t) from the rate of microclimate change (∆T</w:t>
      </w:r>
      <w:r w:rsidRPr="008E0C1D">
        <w:rPr>
          <w:rFonts w:eastAsia="Times New Roman"/>
          <w:color w:val="000000" w:themeColor="text1"/>
          <w:sz w:val="24"/>
          <w:szCs w:val="24"/>
          <w:vertAlign w:val="subscript"/>
        </w:rPr>
        <w:t>micro</w:t>
      </w:r>
      <w:r w:rsidRPr="008E0C1D">
        <w:rPr>
          <w:rFonts w:eastAsia="Times New Roman"/>
          <w:color w:val="000000" w:themeColor="text1"/>
          <w:sz w:val="24"/>
          <w:szCs w:val="24"/>
        </w:rPr>
        <w:t xml:space="preserve">) per unit of time (i.e., microclimate debt: </w:t>
      </w:r>
      <w:r w:rsidR="00134AE3" w:rsidRPr="008E0C1D">
        <w:rPr>
          <w:rFonts w:eastAsia="Times New Roman"/>
          <w:color w:val="000000" w:themeColor="text1"/>
          <w:sz w:val="24"/>
          <w:szCs w:val="24"/>
        </w:rPr>
        <w:t>(</w:t>
      </w:r>
      <w:r w:rsidRPr="008E0C1D">
        <w:rPr>
          <w:rFonts w:eastAsia="Times New Roman"/>
          <w:color w:val="000000" w:themeColor="text1"/>
          <w:sz w:val="24"/>
          <w:szCs w:val="24"/>
        </w:rPr>
        <w:t>∆T</w:t>
      </w:r>
      <w:r w:rsidRPr="008E0C1D">
        <w:rPr>
          <w:rFonts w:eastAsia="Times New Roman"/>
          <w:color w:val="000000" w:themeColor="text1"/>
          <w:sz w:val="24"/>
          <w:szCs w:val="24"/>
          <w:vertAlign w:val="subscript"/>
        </w:rPr>
        <w:t>micro</w:t>
      </w:r>
      <w:r w:rsidRPr="008E0C1D">
        <w:rPr>
          <w:rFonts w:eastAsia="Times New Roman"/>
          <w:color w:val="000000" w:themeColor="text1"/>
          <w:sz w:val="24"/>
          <w:szCs w:val="24"/>
        </w:rPr>
        <w:t>/∆t</w:t>
      </w:r>
      <w:r w:rsidR="00134AE3" w:rsidRPr="008E0C1D">
        <w:rPr>
          <w:rFonts w:eastAsia="Times New Roman"/>
          <w:color w:val="000000" w:themeColor="text1"/>
          <w:sz w:val="24"/>
          <w:szCs w:val="24"/>
        </w:rPr>
        <w:t>)</w:t>
      </w:r>
      <w:r w:rsidRPr="008E0C1D">
        <w:rPr>
          <w:rFonts w:eastAsia="Times New Roman"/>
          <w:color w:val="000000" w:themeColor="text1"/>
          <w:sz w:val="24"/>
          <w:szCs w:val="24"/>
        </w:rPr>
        <w:t xml:space="preserve"> – </w:t>
      </w:r>
      <w:r w:rsidR="00134AE3" w:rsidRPr="008E0C1D">
        <w:rPr>
          <w:rFonts w:eastAsia="Times New Roman"/>
          <w:color w:val="000000" w:themeColor="text1"/>
          <w:sz w:val="24"/>
          <w:szCs w:val="24"/>
        </w:rPr>
        <w:t>(</w:t>
      </w:r>
      <w:r w:rsidRPr="008E0C1D">
        <w:rPr>
          <w:rFonts w:eastAsia="Times New Roman"/>
          <w:color w:val="000000" w:themeColor="text1"/>
          <w:sz w:val="24"/>
          <w:szCs w:val="24"/>
        </w:rPr>
        <w:t>∆T</w:t>
      </w:r>
      <w:r w:rsidRPr="008E0C1D">
        <w:rPr>
          <w:rFonts w:eastAsia="Times New Roman"/>
          <w:color w:val="000000" w:themeColor="text1"/>
          <w:sz w:val="24"/>
          <w:szCs w:val="24"/>
          <w:vertAlign w:val="subscript"/>
        </w:rPr>
        <w:t>plant</w:t>
      </w:r>
      <w:r w:rsidRPr="008E0C1D">
        <w:rPr>
          <w:rFonts w:eastAsia="Times New Roman"/>
          <w:color w:val="000000" w:themeColor="text1"/>
          <w:sz w:val="24"/>
          <w:szCs w:val="24"/>
        </w:rPr>
        <w:t>/∆t</w:t>
      </w:r>
      <w:r w:rsidR="00134AE3" w:rsidRPr="008E0C1D">
        <w:rPr>
          <w:rFonts w:eastAsia="Times New Roman"/>
          <w:color w:val="000000" w:themeColor="text1"/>
          <w:sz w:val="24"/>
          <w:szCs w:val="24"/>
        </w:rPr>
        <w:t>)</w:t>
      </w:r>
      <w:r w:rsidRPr="008E0C1D">
        <w:rPr>
          <w:rFonts w:eastAsia="Times New Roman"/>
          <w:color w:val="000000" w:themeColor="text1"/>
          <w:sz w:val="24"/>
          <w:szCs w:val="24"/>
        </w:rPr>
        <w:t>) and from macroclimate change (∆T</w:t>
      </w:r>
      <w:r w:rsidRPr="008E0C1D">
        <w:rPr>
          <w:rFonts w:eastAsia="Times New Roman"/>
          <w:color w:val="000000" w:themeColor="text1"/>
          <w:sz w:val="24"/>
          <w:szCs w:val="24"/>
          <w:vertAlign w:val="subscript"/>
        </w:rPr>
        <w:t>macro</w:t>
      </w:r>
      <w:r w:rsidRPr="008E0C1D">
        <w:rPr>
          <w:rFonts w:eastAsia="Times New Roman"/>
          <w:color w:val="000000" w:themeColor="text1"/>
          <w:sz w:val="24"/>
          <w:szCs w:val="24"/>
        </w:rPr>
        <w:t xml:space="preserve">) per unit of time (i.e., macroclimate debt: </w:t>
      </w:r>
      <w:r w:rsidR="00134AE3" w:rsidRPr="008E0C1D">
        <w:rPr>
          <w:rFonts w:eastAsia="Times New Roman"/>
          <w:color w:val="000000" w:themeColor="text1"/>
          <w:sz w:val="24"/>
          <w:szCs w:val="24"/>
        </w:rPr>
        <w:t>(</w:t>
      </w:r>
      <w:r w:rsidRPr="008E0C1D">
        <w:rPr>
          <w:rFonts w:eastAsia="Times New Roman"/>
          <w:color w:val="000000" w:themeColor="text1"/>
          <w:sz w:val="24"/>
          <w:szCs w:val="24"/>
        </w:rPr>
        <w:t>∆T</w:t>
      </w:r>
      <w:r w:rsidRPr="008E0C1D">
        <w:rPr>
          <w:rFonts w:eastAsia="Times New Roman"/>
          <w:color w:val="000000" w:themeColor="text1"/>
          <w:sz w:val="24"/>
          <w:szCs w:val="24"/>
          <w:vertAlign w:val="subscript"/>
        </w:rPr>
        <w:t>macro</w:t>
      </w:r>
      <w:r w:rsidRPr="008E0C1D">
        <w:rPr>
          <w:rFonts w:eastAsia="Times New Roman"/>
          <w:color w:val="000000" w:themeColor="text1"/>
          <w:sz w:val="24"/>
          <w:szCs w:val="24"/>
        </w:rPr>
        <w:t>/∆t</w:t>
      </w:r>
      <w:r w:rsidR="00134AE3" w:rsidRPr="008E0C1D">
        <w:rPr>
          <w:rFonts w:eastAsia="Times New Roman"/>
          <w:color w:val="000000" w:themeColor="text1"/>
          <w:sz w:val="24"/>
          <w:szCs w:val="24"/>
        </w:rPr>
        <w:t>)</w:t>
      </w:r>
      <w:r w:rsidRPr="008E0C1D">
        <w:rPr>
          <w:rFonts w:eastAsia="Times New Roman"/>
          <w:color w:val="000000" w:themeColor="text1"/>
          <w:sz w:val="24"/>
          <w:szCs w:val="24"/>
        </w:rPr>
        <w:t xml:space="preserve"> – </w:t>
      </w:r>
      <w:r w:rsidR="00134AE3" w:rsidRPr="008E0C1D">
        <w:rPr>
          <w:rFonts w:eastAsia="Times New Roman"/>
          <w:color w:val="000000" w:themeColor="text1"/>
          <w:sz w:val="24"/>
          <w:szCs w:val="24"/>
        </w:rPr>
        <w:t>(</w:t>
      </w:r>
      <w:r w:rsidRPr="008E0C1D">
        <w:rPr>
          <w:rFonts w:eastAsia="Times New Roman"/>
          <w:color w:val="000000" w:themeColor="text1"/>
          <w:sz w:val="24"/>
          <w:szCs w:val="24"/>
        </w:rPr>
        <w:t>∆T</w:t>
      </w:r>
      <w:r w:rsidRPr="008E0C1D">
        <w:rPr>
          <w:rFonts w:eastAsia="Times New Roman"/>
          <w:color w:val="000000" w:themeColor="text1"/>
          <w:sz w:val="24"/>
          <w:szCs w:val="24"/>
          <w:vertAlign w:val="subscript"/>
        </w:rPr>
        <w:t>plant</w:t>
      </w:r>
      <w:r w:rsidRPr="008E0C1D">
        <w:rPr>
          <w:rFonts w:eastAsia="Times New Roman"/>
          <w:color w:val="000000" w:themeColor="text1"/>
          <w:sz w:val="24"/>
          <w:szCs w:val="24"/>
        </w:rPr>
        <w:t>/∆t</w:t>
      </w:r>
      <w:r w:rsidR="00134AE3" w:rsidRPr="008E0C1D">
        <w:rPr>
          <w:rFonts w:eastAsia="Times New Roman"/>
          <w:color w:val="000000" w:themeColor="text1"/>
          <w:sz w:val="24"/>
          <w:szCs w:val="24"/>
        </w:rPr>
        <w:t>)</w:t>
      </w:r>
      <w:r w:rsidRPr="008E0C1D">
        <w:rPr>
          <w:rFonts w:eastAsia="Times New Roman"/>
          <w:color w:val="000000" w:themeColor="text1"/>
          <w:sz w:val="24"/>
          <w:szCs w:val="24"/>
        </w:rPr>
        <w:t xml:space="preserve">), in each focal plot. Despite surprisingly similar means for the microclimatic debt (0.38 </w:t>
      </w:r>
      <w:r w:rsidR="00114EDC" w:rsidRPr="008E0C1D">
        <w:rPr>
          <w:rFonts w:eastAsia="Times New Roman"/>
          <w:color w:val="000000" w:themeColor="text1"/>
          <w:sz w:val="24"/>
          <w:szCs w:val="24"/>
        </w:rPr>
        <w:t>+/-</w:t>
      </w:r>
      <w:r w:rsidRPr="008E0C1D">
        <w:rPr>
          <w:rFonts w:eastAsia="Times New Roman"/>
          <w:color w:val="000000" w:themeColor="text1"/>
          <w:sz w:val="24"/>
          <w:szCs w:val="24"/>
        </w:rPr>
        <w:t xml:space="preserve"> 0.04</w:t>
      </w:r>
      <w:r w:rsidR="00114EDC" w:rsidRPr="008E0C1D">
        <w:rPr>
          <w:rFonts w:eastAsia="Times New Roman"/>
          <w:color w:val="000000" w:themeColor="text1"/>
          <w:sz w:val="24"/>
          <w:szCs w:val="24"/>
        </w:rPr>
        <w:t xml:space="preserve"> (SEM)</w:t>
      </w:r>
      <w:r w:rsidRPr="008E0C1D">
        <w:rPr>
          <w:rFonts w:eastAsia="Times New Roman"/>
          <w:color w:val="000000" w:themeColor="text1"/>
          <w:sz w:val="24"/>
          <w:szCs w:val="24"/>
        </w:rPr>
        <w:t xml:space="preserve"> °C</w:t>
      </w:r>
      <w:r w:rsidR="00114EDC" w:rsidRPr="008E0C1D">
        <w:rPr>
          <w:rFonts w:eastAsia="Times New Roman"/>
          <w:color w:val="000000" w:themeColor="text1"/>
          <w:sz w:val="24"/>
          <w:szCs w:val="24"/>
        </w:rPr>
        <w:t xml:space="preserve"> </w:t>
      </w:r>
      <w:r w:rsidRPr="008E0C1D">
        <w:rPr>
          <w:rFonts w:eastAsia="Times New Roman"/>
          <w:color w:val="000000" w:themeColor="text1"/>
          <w:sz w:val="24"/>
          <w:szCs w:val="24"/>
        </w:rPr>
        <w:t>per decade) and macroclimatic debt (0.37</w:t>
      </w:r>
      <w:r w:rsidR="00114EDC" w:rsidRPr="008E0C1D">
        <w:rPr>
          <w:rFonts w:eastAsia="Times New Roman"/>
          <w:color w:val="000000" w:themeColor="text1"/>
          <w:sz w:val="24"/>
          <w:szCs w:val="24"/>
        </w:rPr>
        <w:t xml:space="preserve"> +/- </w:t>
      </w:r>
      <w:r w:rsidRPr="008E0C1D">
        <w:rPr>
          <w:rFonts w:eastAsia="Times New Roman"/>
          <w:color w:val="000000" w:themeColor="text1"/>
          <w:sz w:val="24"/>
          <w:szCs w:val="24"/>
        </w:rPr>
        <w:t xml:space="preserve">0.04 </w:t>
      </w:r>
      <w:r w:rsidR="00114EDC" w:rsidRPr="008E0C1D">
        <w:rPr>
          <w:rFonts w:eastAsia="Times New Roman"/>
          <w:color w:val="000000" w:themeColor="text1"/>
          <w:sz w:val="24"/>
          <w:szCs w:val="24"/>
        </w:rPr>
        <w:t xml:space="preserve">(SEM) </w:t>
      </w:r>
      <w:r w:rsidRPr="008E0C1D">
        <w:rPr>
          <w:rFonts w:eastAsia="Times New Roman"/>
          <w:color w:val="000000" w:themeColor="text1"/>
          <w:sz w:val="24"/>
          <w:szCs w:val="24"/>
        </w:rPr>
        <w:t>°C per decade)</w:t>
      </w:r>
      <w:r w:rsidRPr="008E0C1D">
        <w:rPr>
          <w:color w:val="000000" w:themeColor="text1"/>
          <w:sz w:val="24"/>
          <w:szCs w:val="24"/>
        </w:rPr>
        <w:t>, the climatic debts calculated using macroclimate data underrepresent the variability in microclimatic debt</w:t>
      </w:r>
      <w:r w:rsidRPr="008E0C1D">
        <w:rPr>
          <w:rFonts w:eastAsia="Times New Roman"/>
          <w:color w:val="000000" w:themeColor="text1"/>
          <w:sz w:val="24"/>
          <w:szCs w:val="24"/>
        </w:rPr>
        <w:t xml:space="preserve"> (Fig. S</w:t>
      </w:r>
      <w:r w:rsidR="00AE0D6D" w:rsidRPr="008E0C1D">
        <w:rPr>
          <w:rFonts w:eastAsia="Times New Roman"/>
          <w:color w:val="000000" w:themeColor="text1"/>
          <w:sz w:val="24"/>
          <w:szCs w:val="24"/>
        </w:rPr>
        <w:t>7</w:t>
      </w:r>
      <w:r w:rsidRPr="008E0C1D">
        <w:rPr>
          <w:rFonts w:eastAsia="Times New Roman"/>
          <w:color w:val="000000" w:themeColor="text1"/>
          <w:sz w:val="24"/>
          <w:szCs w:val="24"/>
        </w:rPr>
        <w:t xml:space="preserve">). </w:t>
      </w:r>
      <w:r w:rsidR="00134AE3" w:rsidRPr="008E0C1D">
        <w:rPr>
          <w:rFonts w:eastAsia="Times New Roman"/>
          <w:color w:val="000000" w:themeColor="text1"/>
          <w:sz w:val="24"/>
          <w:szCs w:val="24"/>
        </w:rPr>
        <w:t xml:space="preserve">Importantly, we </w:t>
      </w:r>
      <w:r w:rsidR="00AF2A10" w:rsidRPr="008E0C1D">
        <w:rPr>
          <w:rFonts w:eastAsia="Times New Roman"/>
          <w:color w:val="000000" w:themeColor="text1"/>
          <w:sz w:val="24"/>
          <w:szCs w:val="24"/>
        </w:rPr>
        <w:t>found</w:t>
      </w:r>
      <w:r w:rsidR="00134AE3" w:rsidRPr="008E0C1D">
        <w:rPr>
          <w:rFonts w:eastAsia="Times New Roman"/>
          <w:color w:val="000000" w:themeColor="text1"/>
          <w:sz w:val="24"/>
          <w:szCs w:val="24"/>
        </w:rPr>
        <w:t xml:space="preserve"> the greatest microclimate warming in areas where canopy cover</w:t>
      </w:r>
      <w:r w:rsidR="00AF2A10" w:rsidRPr="008E0C1D">
        <w:rPr>
          <w:rFonts w:eastAsia="Times New Roman"/>
          <w:color w:val="000000" w:themeColor="text1"/>
          <w:sz w:val="24"/>
          <w:szCs w:val="24"/>
        </w:rPr>
        <w:t xml:space="preserve"> and thus the temperature buffering</w:t>
      </w:r>
      <w:r w:rsidR="00134AE3" w:rsidRPr="008E0C1D">
        <w:rPr>
          <w:rFonts w:eastAsia="Times New Roman"/>
          <w:color w:val="000000" w:themeColor="text1"/>
          <w:sz w:val="24"/>
          <w:szCs w:val="24"/>
        </w:rPr>
        <w:t xml:space="preserve"> declined, and these were also areas where the </w:t>
      </w:r>
      <w:r w:rsidR="00B303E9" w:rsidRPr="008E0C1D">
        <w:rPr>
          <w:rFonts w:eastAsia="Times New Roman"/>
          <w:color w:val="000000" w:themeColor="text1"/>
          <w:sz w:val="24"/>
          <w:szCs w:val="24"/>
        </w:rPr>
        <w:t>micro</w:t>
      </w:r>
      <w:r w:rsidR="00134AE3" w:rsidRPr="008E0C1D">
        <w:rPr>
          <w:rFonts w:eastAsia="Times New Roman"/>
          <w:color w:val="000000" w:themeColor="text1"/>
          <w:sz w:val="24"/>
          <w:szCs w:val="24"/>
        </w:rPr>
        <w:t>climatic debt was greatest</w:t>
      </w:r>
      <w:r w:rsidR="00AF2A10" w:rsidRPr="008E0C1D">
        <w:rPr>
          <w:rFonts w:eastAsia="Times New Roman"/>
          <w:color w:val="000000" w:themeColor="text1"/>
          <w:sz w:val="24"/>
          <w:szCs w:val="24"/>
        </w:rPr>
        <w:t xml:space="preserve"> (Fig. 3). Despite higher thermophilisation rates with increasing microclimate warming (Fig. 2), locally increased heat due to a reduction of canopy cover impedes the ability of </w:t>
      </w:r>
      <w:r w:rsidR="00343018" w:rsidRPr="008E0C1D">
        <w:rPr>
          <w:rFonts w:eastAsia="Times New Roman"/>
          <w:color w:val="000000" w:themeColor="text1"/>
          <w:sz w:val="24"/>
          <w:szCs w:val="24"/>
        </w:rPr>
        <w:t>understorey</w:t>
      </w:r>
      <w:r w:rsidR="00AF2A10" w:rsidRPr="008E0C1D">
        <w:rPr>
          <w:rFonts w:eastAsia="Times New Roman"/>
          <w:color w:val="000000" w:themeColor="text1"/>
          <w:sz w:val="24"/>
          <w:szCs w:val="24"/>
        </w:rPr>
        <w:t xml:space="preserve"> plant communities to respond to such </w:t>
      </w:r>
      <w:r w:rsidR="00A231E5" w:rsidRPr="008E0C1D">
        <w:rPr>
          <w:rFonts w:eastAsia="Times New Roman"/>
          <w:color w:val="000000" w:themeColor="text1"/>
          <w:sz w:val="24"/>
          <w:szCs w:val="24"/>
        </w:rPr>
        <w:t>high rates of warming</w:t>
      </w:r>
      <w:r w:rsidR="00AF2A10" w:rsidRPr="008E0C1D">
        <w:rPr>
          <w:rFonts w:eastAsia="Times New Roman"/>
          <w:color w:val="000000" w:themeColor="text1"/>
          <w:sz w:val="24"/>
          <w:szCs w:val="24"/>
        </w:rPr>
        <w:t>.</w:t>
      </w:r>
      <w:r w:rsidR="00BA293B" w:rsidRPr="008E0C1D">
        <w:rPr>
          <w:rFonts w:eastAsia="Times New Roman"/>
          <w:color w:val="000000" w:themeColor="text1"/>
          <w:sz w:val="24"/>
          <w:szCs w:val="24"/>
        </w:rPr>
        <w:t xml:space="preserve"> </w:t>
      </w:r>
      <w:r w:rsidR="00E676CC" w:rsidRPr="008E0C1D">
        <w:rPr>
          <w:rFonts w:eastAsia="Times New Roman"/>
          <w:color w:val="000000" w:themeColor="text1"/>
          <w:sz w:val="24"/>
          <w:szCs w:val="24"/>
        </w:rPr>
        <w:t xml:space="preserve">On the contrary, we found lower microclimatic debts in </w:t>
      </w:r>
      <w:r w:rsidR="00A231E5" w:rsidRPr="008E0C1D">
        <w:rPr>
          <w:rFonts w:eastAsia="Times New Roman"/>
          <w:color w:val="000000" w:themeColor="text1"/>
          <w:sz w:val="24"/>
          <w:szCs w:val="24"/>
        </w:rPr>
        <w:t>sites with</w:t>
      </w:r>
      <w:r w:rsidR="00E676CC" w:rsidRPr="008E0C1D">
        <w:rPr>
          <w:rFonts w:eastAsia="Times New Roman"/>
          <w:color w:val="000000" w:themeColor="text1"/>
          <w:sz w:val="24"/>
          <w:szCs w:val="24"/>
        </w:rPr>
        <w:t xml:space="preserve"> increase</w:t>
      </w:r>
      <w:r w:rsidR="00A231E5" w:rsidRPr="008E0C1D">
        <w:rPr>
          <w:rFonts w:eastAsia="Times New Roman"/>
          <w:color w:val="000000" w:themeColor="text1"/>
          <w:sz w:val="24"/>
          <w:szCs w:val="24"/>
        </w:rPr>
        <w:t>d</w:t>
      </w:r>
      <w:r w:rsidR="00E676CC" w:rsidRPr="008E0C1D">
        <w:rPr>
          <w:rFonts w:eastAsia="Times New Roman"/>
          <w:color w:val="000000" w:themeColor="text1"/>
          <w:sz w:val="24"/>
          <w:szCs w:val="24"/>
        </w:rPr>
        <w:t xml:space="preserve"> canopy cover</w:t>
      </w:r>
      <w:r w:rsidR="00A231E5" w:rsidRPr="008E0C1D">
        <w:rPr>
          <w:rFonts w:eastAsia="Times New Roman"/>
          <w:color w:val="000000" w:themeColor="text1"/>
          <w:sz w:val="24"/>
          <w:szCs w:val="24"/>
        </w:rPr>
        <w:t xml:space="preserve">; there, </w:t>
      </w:r>
      <w:r w:rsidR="00E676CC" w:rsidRPr="008E0C1D">
        <w:rPr>
          <w:rFonts w:eastAsia="Times New Roman"/>
          <w:color w:val="000000" w:themeColor="text1"/>
          <w:sz w:val="24"/>
          <w:szCs w:val="24"/>
        </w:rPr>
        <w:t xml:space="preserve">temperature buffering led to a cooling effect during the growing season. These patterns remain hidden when analysing climatic debts based on macroclimate data (Fig. 3). </w:t>
      </w:r>
      <w:r w:rsidRPr="008E0C1D">
        <w:rPr>
          <w:rFonts w:eastAsia="Times New Roman"/>
          <w:color w:val="000000" w:themeColor="text1"/>
          <w:sz w:val="24"/>
          <w:szCs w:val="24"/>
        </w:rPr>
        <w:t xml:space="preserve">Realistic assessments of the current pressures on communities due to climate warming thus requires long-term data on microclimate change. </w:t>
      </w:r>
    </w:p>
    <w:p w14:paraId="1A95DA45" w14:textId="77777777" w:rsidR="00972F22" w:rsidRPr="008E0C1D" w:rsidRDefault="00972F22" w:rsidP="00610494">
      <w:pPr>
        <w:ind w:firstLine="720"/>
        <w:rPr>
          <w:rFonts w:eastAsia="Times New Roman"/>
          <w:color w:val="000000" w:themeColor="text1"/>
          <w:sz w:val="24"/>
          <w:szCs w:val="24"/>
        </w:rPr>
      </w:pPr>
    </w:p>
    <w:p w14:paraId="3CD13B10" w14:textId="071A5358" w:rsidR="00615848" w:rsidRPr="008E0C1D" w:rsidRDefault="00972F22" w:rsidP="00610494">
      <w:pPr>
        <w:rPr>
          <w:rFonts w:eastAsia="Times New Roman"/>
          <w:color w:val="000000" w:themeColor="text1"/>
          <w:sz w:val="24"/>
          <w:szCs w:val="24"/>
        </w:rPr>
      </w:pPr>
      <w:r w:rsidRPr="008E0C1D">
        <w:rPr>
          <w:rFonts w:eastAsia="Times New Roman"/>
          <w:noProof/>
          <w:color w:val="000000" w:themeColor="text1"/>
          <w:sz w:val="24"/>
          <w:szCs w:val="24"/>
        </w:rPr>
        <w:drawing>
          <wp:inline distT="0" distB="0" distL="0" distR="0" wp14:anchorId="17FC0CEB" wp14:editId="4AF97FA3">
            <wp:extent cx="4799098" cy="1874520"/>
            <wp:effectExtent l="0" t="0" r="1905" b="508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3.jpg"/>
                    <pic:cNvPicPr/>
                  </pic:nvPicPr>
                  <pic:blipFill>
                    <a:blip r:embed="rId11"/>
                    <a:stretch>
                      <a:fillRect/>
                    </a:stretch>
                  </pic:blipFill>
                  <pic:spPr>
                    <a:xfrm>
                      <a:off x="0" y="0"/>
                      <a:ext cx="4818822" cy="1882224"/>
                    </a:xfrm>
                    <a:prstGeom prst="rect">
                      <a:avLst/>
                    </a:prstGeom>
                  </pic:spPr>
                </pic:pic>
              </a:graphicData>
            </a:graphic>
          </wp:inline>
        </w:drawing>
      </w:r>
    </w:p>
    <w:p w14:paraId="41D3B159" w14:textId="189AC84E" w:rsidR="00615848" w:rsidRPr="008E0C1D" w:rsidRDefault="00615848" w:rsidP="00610494">
      <w:pPr>
        <w:rPr>
          <w:rFonts w:eastAsia="Times New Roman"/>
          <w:color w:val="000000" w:themeColor="text1"/>
        </w:rPr>
      </w:pPr>
      <w:r w:rsidRPr="008E0C1D">
        <w:rPr>
          <w:rFonts w:eastAsia="Times New Roman"/>
          <w:b/>
          <w:bCs/>
          <w:color w:val="000000" w:themeColor="text1"/>
        </w:rPr>
        <w:t>Fig. 3</w:t>
      </w:r>
      <w:r w:rsidR="00C761F3" w:rsidRPr="008E0C1D">
        <w:rPr>
          <w:rFonts w:eastAsia="Times New Roman"/>
          <w:b/>
          <w:bCs/>
          <w:color w:val="000000" w:themeColor="text1"/>
        </w:rPr>
        <w:t>.</w:t>
      </w:r>
      <w:r w:rsidRPr="008E0C1D">
        <w:rPr>
          <w:rFonts w:eastAsia="Times New Roman"/>
          <w:b/>
          <w:bCs/>
          <w:color w:val="000000" w:themeColor="text1"/>
        </w:rPr>
        <w:t xml:space="preserve"> Temperature buffering by canopy cover explains the climatic debt in forest plant communities. </w:t>
      </w:r>
      <w:r w:rsidR="009C2EDD" w:rsidRPr="008E0C1D">
        <w:rPr>
          <w:rFonts w:eastAsia="Times New Roman"/>
          <w:bCs/>
          <w:color w:val="000000" w:themeColor="text1"/>
        </w:rPr>
        <w:t>(</w:t>
      </w:r>
      <w:r w:rsidR="009C2EDD" w:rsidRPr="008E0C1D">
        <w:rPr>
          <w:rFonts w:eastAsia="Times New Roman"/>
          <w:b/>
          <w:bCs/>
          <w:color w:val="000000" w:themeColor="text1"/>
        </w:rPr>
        <w:t>A</w:t>
      </w:r>
      <w:r w:rsidR="009C2EDD" w:rsidRPr="008E0C1D">
        <w:rPr>
          <w:rFonts w:eastAsia="Times New Roman"/>
          <w:bCs/>
          <w:color w:val="000000" w:themeColor="text1"/>
        </w:rPr>
        <w:t>)</w:t>
      </w:r>
      <w:r w:rsidRPr="008E0C1D">
        <w:rPr>
          <w:rFonts w:eastAsia="Times New Roman"/>
          <w:b/>
          <w:bCs/>
          <w:color w:val="000000" w:themeColor="text1"/>
        </w:rPr>
        <w:t xml:space="preserve">, </w:t>
      </w:r>
      <w:r w:rsidRPr="008E0C1D">
        <w:rPr>
          <w:rFonts w:eastAsia="Times New Roman"/>
          <w:color w:val="000000" w:themeColor="text1"/>
        </w:rPr>
        <w:t xml:space="preserve">The climatic debt calculated based on microclimate temperature change (i.e., microclimatic debt) increases with decreasing maximum temperature (Tmax) buffering following a reduction of canopy cover (slope: -1.88, marginal (conditional) R-squared: 0.51 (0.75), </w:t>
      </w:r>
      <w:r w:rsidRPr="008E0C1D">
        <w:rPr>
          <w:rFonts w:eastAsia="Times New Roman"/>
          <w:i/>
          <w:color w:val="000000" w:themeColor="text1"/>
        </w:rPr>
        <w:t>P</w:t>
      </w:r>
      <w:r w:rsidRPr="008E0C1D">
        <w:rPr>
          <w:rFonts w:eastAsia="Times New Roman"/>
          <w:color w:val="000000" w:themeColor="text1"/>
        </w:rPr>
        <w:t xml:space="preserve"> &lt; 0.001). Negative values on the x-axis represent a warming effect (reduced canopy cover and thus less Tmax buffering), positive values represent a cooling effect (increased canopy cover and thus more Tmax buffering). </w:t>
      </w:r>
      <w:r w:rsidR="009C2EDD" w:rsidRPr="008E0C1D">
        <w:rPr>
          <w:rFonts w:eastAsia="Times New Roman"/>
          <w:color w:val="000000" w:themeColor="text1"/>
        </w:rPr>
        <w:t>(</w:t>
      </w:r>
      <w:r w:rsidR="009C2EDD" w:rsidRPr="008E0C1D">
        <w:rPr>
          <w:rFonts w:eastAsia="Times New Roman"/>
          <w:b/>
          <w:color w:val="000000" w:themeColor="text1"/>
        </w:rPr>
        <w:t>B</w:t>
      </w:r>
      <w:r w:rsidR="009C2EDD" w:rsidRPr="008E0C1D">
        <w:rPr>
          <w:rFonts w:eastAsia="Times New Roman"/>
          <w:color w:val="000000" w:themeColor="text1"/>
        </w:rPr>
        <w:t>)</w:t>
      </w:r>
      <w:r w:rsidRPr="008E0C1D">
        <w:rPr>
          <w:rFonts w:eastAsia="Times New Roman"/>
          <w:b/>
          <w:bCs/>
          <w:color w:val="000000" w:themeColor="text1"/>
        </w:rPr>
        <w:t>,</w:t>
      </w:r>
      <w:r w:rsidRPr="008E0C1D">
        <w:rPr>
          <w:rFonts w:eastAsia="Times New Roman"/>
          <w:color w:val="000000" w:themeColor="text1"/>
        </w:rPr>
        <w:t xml:space="preserve"> Climatic debts calculated using macroclimate temperature change (i.e., macroclimate debt) are only weakly related to differences in temperature buffering (slope: 0.13, marginal (conditional) R-squared: 0 (0.25), </w:t>
      </w:r>
      <w:r w:rsidRPr="008E0C1D">
        <w:rPr>
          <w:rFonts w:eastAsia="Times New Roman"/>
          <w:i/>
          <w:color w:val="000000" w:themeColor="text1"/>
        </w:rPr>
        <w:t>P</w:t>
      </w:r>
      <w:r w:rsidRPr="008E0C1D">
        <w:rPr>
          <w:rFonts w:eastAsia="Times New Roman"/>
          <w:color w:val="000000" w:themeColor="text1"/>
        </w:rPr>
        <w:t>: 0.06). The linear regression lines are plotted including the 95 % confidence intervals (grey bands). The green dots indicate exemplified micro- and macroclimate debts following the illustrated change (reduction) in Tmax buffering in Fig. 1</w:t>
      </w:r>
      <w:r w:rsidR="009C2EDD" w:rsidRPr="008E0C1D">
        <w:rPr>
          <w:rFonts w:eastAsia="Times New Roman"/>
          <w:color w:val="000000" w:themeColor="text1"/>
        </w:rPr>
        <w:t>B</w:t>
      </w:r>
      <w:r w:rsidRPr="008E0C1D">
        <w:rPr>
          <w:rFonts w:eastAsia="Times New Roman"/>
          <w:color w:val="000000" w:themeColor="text1"/>
        </w:rPr>
        <w:t>.</w:t>
      </w:r>
    </w:p>
    <w:p w14:paraId="0F5DEB6D" w14:textId="77777777" w:rsidR="00610494" w:rsidRPr="008E0C1D" w:rsidRDefault="00610494" w:rsidP="00610494">
      <w:pPr>
        <w:rPr>
          <w:rFonts w:eastAsia="Times New Roman"/>
          <w:color w:val="000000" w:themeColor="text1"/>
        </w:rPr>
      </w:pPr>
    </w:p>
    <w:p w14:paraId="6079DD0F" w14:textId="0EBB8B69" w:rsidR="00615848" w:rsidRPr="008E0C1D" w:rsidRDefault="00FA4283" w:rsidP="00610494">
      <w:pPr>
        <w:ind w:firstLine="720"/>
        <w:rPr>
          <w:rFonts w:eastAsia="Times New Roman"/>
          <w:color w:val="000000" w:themeColor="text1"/>
          <w:sz w:val="24"/>
          <w:szCs w:val="24"/>
        </w:rPr>
      </w:pPr>
      <w:sdt>
        <w:sdtPr>
          <w:rPr>
            <w:color w:val="000000" w:themeColor="text1"/>
            <w:sz w:val="24"/>
            <w:szCs w:val="24"/>
          </w:rPr>
          <w:tag w:val="goog_rdk_7"/>
          <w:id w:val="-2047368800"/>
        </w:sdtPr>
        <w:sdtEndPr/>
        <w:sdtContent/>
      </w:sdt>
      <w:r w:rsidR="00615848" w:rsidRPr="008E0C1D">
        <w:rPr>
          <w:rFonts w:eastAsia="Times New Roman"/>
          <w:color w:val="000000" w:themeColor="text1"/>
          <w:sz w:val="24"/>
          <w:szCs w:val="24"/>
        </w:rPr>
        <w:t>Canopy cover dynamics have triggered microclimate changes over time in forest interiors that can differ considerably from macroclimate changes outside forests. This has important implications for predicting biodiversity responses to climate and land use (e.g., forest management) change, which interactively drive the emergence of novel thermal environments. With the predicted increase of heat-waves</w:t>
      </w:r>
      <w:r w:rsidR="00C761F3" w:rsidRPr="008E0C1D">
        <w:rPr>
          <w:rFonts w:eastAsia="Times New Roman"/>
          <w:color w:val="000000" w:themeColor="text1"/>
          <w:sz w:val="24"/>
          <w:szCs w:val="24"/>
        </w:rPr>
        <w:t xml:space="preserve"> </w:t>
      </w:r>
      <w:r w:rsidR="00615848" w:rsidRPr="008E0C1D">
        <w:rPr>
          <w:color w:val="000000" w:themeColor="text1"/>
          <w:sz w:val="24"/>
          <w:szCs w:val="24"/>
          <w:lang w:val="en-GB"/>
        </w:rPr>
        <w:fldChar w:fldCharType="begin" w:fldLock="1"/>
      </w:r>
      <w:r w:rsidR="00615848" w:rsidRPr="008E0C1D">
        <w:rPr>
          <w:color w:val="000000" w:themeColor="text1"/>
          <w:sz w:val="24"/>
          <w:szCs w:val="24"/>
          <w:lang w:val="en-GB"/>
        </w:rPr>
        <w:instrText>ADDIN CSL_CITATION {"citationItems":[{"id":"ITEM-1","itemData":{"author":[{"dropping-particle":"","family":"IPCC","given":"","non-dropping-particle":"","parse-names":false,"suffix":""}],"id":"ITEM-1","issued":{"date-parts":[["2014"]]},"publisher":"Cambridge University Press, Cambridge, UK","title":"Climate Change 2014: Impacts, Adaptation, and Vulnerability","type":"book"},"uris":["http://www.mendeley.com/documents/?uuid=e15c45af-33d2-419f-b4a1-802b53b6d7fa"]}],"mendeley":{"formattedCitation":"(&lt;i&gt;4&lt;/i&gt;)","plainTextFormattedCitation":"(4)","previouslyFormattedCitation":"(&lt;i&gt;4&lt;/i&gt;)"},"properties":{"noteIndex":0},"schema":"https://github.com/citation-style-language/schema/raw/master/csl-citation.json"}</w:instrText>
      </w:r>
      <w:r w:rsidR="00615848" w:rsidRPr="008E0C1D">
        <w:rPr>
          <w:color w:val="000000" w:themeColor="text1"/>
          <w:sz w:val="24"/>
          <w:szCs w:val="24"/>
          <w:lang w:val="en-GB"/>
        </w:rPr>
        <w:fldChar w:fldCharType="separate"/>
      </w:r>
      <w:r w:rsidR="00615848" w:rsidRPr="008E0C1D">
        <w:rPr>
          <w:noProof/>
          <w:color w:val="000000" w:themeColor="text1"/>
          <w:sz w:val="24"/>
          <w:szCs w:val="24"/>
          <w:lang w:val="en-GB"/>
        </w:rPr>
        <w:t>(</w:t>
      </w:r>
      <w:r w:rsidR="00615848" w:rsidRPr="008E0C1D">
        <w:rPr>
          <w:i/>
          <w:noProof/>
          <w:color w:val="000000" w:themeColor="text1"/>
          <w:sz w:val="24"/>
          <w:szCs w:val="24"/>
          <w:lang w:val="en-GB"/>
        </w:rPr>
        <w:t>4</w:t>
      </w:r>
      <w:r w:rsidR="00615848" w:rsidRPr="008E0C1D">
        <w:rPr>
          <w:noProof/>
          <w:color w:val="000000" w:themeColor="text1"/>
          <w:sz w:val="24"/>
          <w:szCs w:val="24"/>
          <w:lang w:val="en-GB"/>
        </w:rPr>
        <w:t>)</w:t>
      </w:r>
      <w:r w:rsidR="00615848" w:rsidRPr="008E0C1D">
        <w:rPr>
          <w:color w:val="000000" w:themeColor="text1"/>
          <w:sz w:val="24"/>
          <w:szCs w:val="24"/>
          <w:lang w:val="en-GB"/>
        </w:rPr>
        <w:fldChar w:fldCharType="end"/>
      </w:r>
      <w:r w:rsidR="00615848" w:rsidRPr="008E0C1D">
        <w:rPr>
          <w:rFonts w:eastAsia="Times New Roman"/>
          <w:color w:val="000000" w:themeColor="text1"/>
          <w:sz w:val="24"/>
          <w:szCs w:val="24"/>
        </w:rPr>
        <w:t>, many species and communities may greatly suffer from loss of canopy cover, e.g. following tree harvesting or dieback</w:t>
      </w:r>
      <w:r w:rsidR="00C761F3" w:rsidRPr="008E0C1D">
        <w:rPr>
          <w:rFonts w:eastAsia="Times New Roman"/>
          <w:color w:val="000000" w:themeColor="text1"/>
          <w:sz w:val="24"/>
          <w:szCs w:val="24"/>
        </w:rPr>
        <w:t xml:space="preserve"> </w:t>
      </w:r>
      <w:r w:rsidR="00615848" w:rsidRPr="008E0C1D">
        <w:rPr>
          <w:rFonts w:eastAsia="Times New Roman"/>
          <w:color w:val="000000" w:themeColor="text1"/>
          <w:sz w:val="24"/>
          <w:szCs w:val="24"/>
        </w:rPr>
        <w:fldChar w:fldCharType="begin" w:fldLock="1"/>
      </w:r>
      <w:r w:rsidR="00DD1A8A" w:rsidRPr="008E0C1D">
        <w:rPr>
          <w:rFonts w:eastAsia="Times New Roman"/>
          <w:color w:val="000000" w:themeColor="text1"/>
          <w:sz w:val="24"/>
          <w:szCs w:val="24"/>
        </w:rPr>
        <w:instrText>ADDIN CSL_CITATION {"citationItems":[{"id":"ITEM-1","itemData":{"DOI":"10.1111/ele.12901","ISSN":"1461-0248 (Electronic) 1461-023X (Linking)","abstract":"Human activities often replace native forests with warmer, modified habitats that represent novel thermal environments for biodiversity. Reducing biodiversity loss hinges upon identifying which species are most sensitive to the environmental conditions that result from habitat modification. Drawing on case studies and a meta-analysis, we examined whether observed and modelled thermal traits, including heat tolerances, variation in body temperatures, and evaporative water loss, explained variation in sensitivity of ectotherms to habitat modification. Low heat tolerances of lizards and amphibians and high evaporative water loss of amphibians were associated with increased sensitivity to habitat modification, often explaining more variation than non-thermal traits. Heat tolerances alone explained 24-66% (mean = 38%) of the variation in species responses, and these trends were largely consistent across geographic locations and spatial scales. As habitat modification alters local microclimates, the thermal biology of species will likely play a key role in the reassembly of terrestrial communities.","author":[{"dropping-particle":"","family":"Nowakowski","given":"A J","non-dropping-particle":"","parse-names":false,"suffix":""},{"dropping-particle":"","family":"Watling","given":"J I","non-dropping-particle":"","parse-names":false,"suffix":""},{"dropping-particle":"","family":"Thompson","given":"M E","non-dropping-particle":"","parse-names":false,"suffix":""},{"dropping-particle":"","family":"Brusch","given":"G A th","non-dropping-particle":"","parse-names":false,"suffix":""},{"dropping-particle":"","family":"Catenazzi","given":"A","non-dropping-particle":"","parse-names":false,"suffix":""},{"dropping-particle":"","family":"Whitfield","given":"S M","non-dropping-particle":"","parse-names":false,"suffix":""},{"dropping-particle":"","family":"Kurz","given":"D J","non-dropping-particle":"","parse-names":false,"suffix":""},{"dropping-particle":"","family":"Suarez-Mayorga","given":"A","non-dropping-particle":"","parse-names":false,"suffix":""},{"dropping-particle":"","family":"Aponte-Gutierrez","given":"A","non-dropping-particle":"","parse-names":false,"suffix":""},{"dropping-particle":"","family":"Donnelly","given":"M A","non-dropping-particle":"","parse-names":false,"suffix":""},{"dropping-particle":"","family":"Todd","given":"B D","non-dropping-particle":"","parse-names":false,"suffix":""}],"container-title":"Ecol Lett","id":"ITEM-1","issue":"3","issued":{"date-parts":[["2018"]]},"note":"Nowakowski, A Justin\nWatling, James I\nThompson, Michelle E\nBrusch, George A 4th\nCatenazzi, Alessandro\nWhitfield, Steven M\nKurz, David J\nSuarez-Mayorga, Angela\nAponte-Gutierrez, Andres\nDonnelly, Maureen A\nTodd, Brian D\neng\nLetter\nEngland\n2018/01/10 06:00\nEcol Lett. 2018 Mar;21(3):345-355. doi: 10.1111/ele.12901. Epub 2018 Jan 4.","page":"345-355","publisher-place":"Department of Wildlife, Fish, and Conservation Biology, University of California, Davis, Davis, CA, 95616, USA. Department of Biology, John Carroll University, University Heights, OH, 44118, USA. Department of Biological Sciences, Florida International Un","title":"Thermal biology mediates responses of amphibians and reptiles to habitat modification","type":"article-journal","volume":"21"},"uris":["http://www.mendeley.com/documents/?uuid=d0ff5f67-9618-4431-9a76-202fd92a59b3"]}],"mendeley":{"formattedCitation":"(&lt;i&gt;24&lt;/i&gt;)","plainTextFormattedCitation":"(24)","previouslyFormattedCitation":"(&lt;i&gt;24&lt;/i&gt;)"},"properties":{"noteIndex":0},"schema":"https://github.com/citation-style-language/schema/raw/master/csl-citation.json"}</w:instrText>
      </w:r>
      <w:r w:rsidR="00615848" w:rsidRPr="008E0C1D">
        <w:rPr>
          <w:rFonts w:eastAsia="Times New Roman"/>
          <w:color w:val="000000" w:themeColor="text1"/>
          <w:sz w:val="24"/>
          <w:szCs w:val="24"/>
        </w:rPr>
        <w:fldChar w:fldCharType="separate"/>
      </w:r>
      <w:r w:rsidR="00D72CB3" w:rsidRPr="008E0C1D">
        <w:rPr>
          <w:rFonts w:eastAsia="Times New Roman"/>
          <w:noProof/>
          <w:color w:val="000000" w:themeColor="text1"/>
          <w:sz w:val="24"/>
          <w:szCs w:val="24"/>
        </w:rPr>
        <w:t>(</w:t>
      </w:r>
      <w:r w:rsidR="00D72CB3" w:rsidRPr="008E0C1D">
        <w:rPr>
          <w:rFonts w:eastAsia="Times New Roman"/>
          <w:i/>
          <w:noProof/>
          <w:color w:val="000000" w:themeColor="text1"/>
          <w:sz w:val="24"/>
          <w:szCs w:val="24"/>
        </w:rPr>
        <w:t>24</w:t>
      </w:r>
      <w:r w:rsidR="00D72CB3" w:rsidRPr="008E0C1D">
        <w:rPr>
          <w:rFonts w:eastAsia="Times New Roman"/>
          <w:noProof/>
          <w:color w:val="000000" w:themeColor="text1"/>
          <w:sz w:val="24"/>
          <w:szCs w:val="24"/>
        </w:rPr>
        <w:t>)</w:t>
      </w:r>
      <w:r w:rsidR="00615848" w:rsidRPr="008E0C1D">
        <w:rPr>
          <w:rFonts w:eastAsia="Times New Roman"/>
          <w:color w:val="000000" w:themeColor="text1"/>
          <w:sz w:val="24"/>
          <w:szCs w:val="24"/>
        </w:rPr>
        <w:fldChar w:fldCharType="end"/>
      </w:r>
      <w:r w:rsidR="00615848" w:rsidRPr="008E0C1D">
        <w:rPr>
          <w:rFonts w:eastAsia="Times New Roman"/>
          <w:color w:val="000000" w:themeColor="text1"/>
          <w:sz w:val="24"/>
          <w:szCs w:val="24"/>
        </w:rPr>
        <w:t>. The resulting impacts are serious, because forests harbour most of the terrestrial biodiversity, and because many ecosystem services and livelihoods critically depend on forest biodiversity</w:t>
      </w:r>
      <w:r w:rsidR="00C761F3" w:rsidRPr="008E0C1D">
        <w:rPr>
          <w:rFonts w:eastAsia="Times New Roman"/>
          <w:color w:val="000000" w:themeColor="text1"/>
          <w:sz w:val="24"/>
          <w:szCs w:val="24"/>
        </w:rPr>
        <w:t xml:space="preserve"> </w:t>
      </w:r>
      <w:r w:rsidR="00615848" w:rsidRPr="008E0C1D">
        <w:rPr>
          <w:color w:val="000000" w:themeColor="text1"/>
          <w:sz w:val="24"/>
          <w:szCs w:val="24"/>
          <w:lang w:val="en-GB"/>
        </w:rPr>
        <w:fldChar w:fldCharType="begin" w:fldLock="1"/>
      </w:r>
      <w:r w:rsidR="00DD1A8A" w:rsidRPr="008E0C1D">
        <w:rPr>
          <w:color w:val="000000" w:themeColor="text1"/>
          <w:sz w:val="24"/>
          <w:szCs w:val="24"/>
          <w:lang w:val="en-GB"/>
        </w:rPr>
        <w:instrText>ADDIN CSL_CITATION {"citationItems":[{"id":"ITEM-1","itemData":{"author":[{"dropping-particle":"","family":"MEA","given":"","non-dropping-particle":"","parse-names":false,"suffix":""}],"id":"ITEM-1","issued":{"date-parts":[["2005"]]},"publisher":"World Resource Institute, Washington, DC","title":"Millennium Ecosystem Assessment. Ecosystems and Human Well-being: Biodiversity Sysnthesis","type":"report"},"uris":["http://www.mendeley.com/documents/?uuid=b9b5546f-9a3f-4689-8766-7966790bfd57"]},{"id":"ITEM-2","itemData":{"DOI":"10.1126/science.aai9214","abstract":"Climate change is causing geographical redistribution of plant and animal species globally. These distributional shifts are leading to new ecosystems and ecological communities, changes that will affect human society. Pecl et al. review these current and future impacts and assess their implications for sustainable development goals.Science, this issue p. eaai9214BACKGROUNDThe success of human societies depends intimately on the living components of natural and managed systems. Although the geographical range limits of species are dynamic and fluctuate over time, climate change is impelling a universal redistribution of life on Earth. For marine, freshwater, and terrestrial species alike, the first response to changing climate is often a shift in location, to stay within preferred environmental conditions. At the cooler extremes of their distributions, species are moving poleward, whereas range limits are contracting at the warmer range edge, where temperatures are no longer tolerable. On land, species are also moving to cooler, higher elevations; in the ocean, they are moving to colder water at greater depths. Because different species respond at different rates and to varying degrees, key interactions among species are often disrupted, and new interactions develop. These idiosyncrasies can result in novel biotic communities and rapid changes in ecosystem functioning, with pervasive and sometimes unexpected consequences that propagate through and affect both biological and human communities.ADVANCESAt a time when the world is anticipating unprecedented increases in human population growth and demands, the ability of natural ecosystems to deliver ecosystem services is being challenged by the largest climate-driven global redistribution of species since the Last Glacial Maximum. We demonstrate the serious consequences of this species redistribution for economic development, livelihoods, food security, human health, and culture, and we document feedbacks on climate itself. As with other impacts of climate change, species range shifts will leave “winners” and “losers” in their wake, radically reshaping the pattern of human well-being between regions and different sectors and potentially leading to substantial conflict. The pervasive impacts of changes in species distribution transcend single systems or dimensions, with feedbacks and linkages between multiple interacting scales and through whole ecosystems, inclusive of humans. We argue that the negative eff…","author":[{"dropping-particle":"","family":"Pecl","given":"Gretta T","non-dropping-particle":"","parse-names":false,"suffix":""},{"dropping-particle":"","family":"Araújo","given":"Miguel B","non-dropping-particle":"","parse-names":false,"suffix":""},{"dropping-particle":"","family":"Bell","given":"Johann D","non-dropping-particle":"","parse-names":false,"suffix":""},{"dropping-particle":"","family":"Blanchard","given":"Julia","non-dropping-particle":"","parse-names":false,"suffix":""},{"dropping-particle":"","family":"Bonebrake","given":"Timothy C","non-dropping-particle":"","parse-names":false,"suffix":""},{"dropping-particle":"","family":"Chen","given":"I-Ching","non-dropping-particle":"","parse-names":false,"suffix":""},{"dropping-particle":"","family":"Clark","given":"Timothy D","non-dropping-particle":"","parse-names":false,"suffix":""},{"dropping-particle":"","family":"Colwell","given":"Robert K","non-dropping-particle":"","parse-names":false,"suffix":""},{"dropping-particle":"","family":"Danielsen","given":"Finn","non-dropping-particle":"","parse-names":false,"suffix":""},{"dropping-particle":"","family":"Evengård","given":"Birgitta","non-dropping-particle":"","parse-names":false,"suffix":""},{"dropping-particle":"","family":"Falconi","given":"Lorena","non-dropping-particle":"","parse-names":false,"suffix":""},{"dropping-particle":"","family":"Ferrier","given":"Simon","non-dropping-particle":"","parse-names":false,"suffix":""},{"dropping-particle":"","family":"Frusher","given":"Stewart","non-dropping-particle":"","parse-names":false,"suffix":""},{"dropping-particle":"","family":"Garcia","given":"Raquel A","non-dropping-particle":"","parse-names":false,"suffix":""},{"dropping-particle":"","family":"Griffis","given":"Roger B","non-dropping-particle":"","parse-names":false,"suffix":""},{"dropping-particle":"","family":"Hobday","given":"Alistair J","non-dropping-particle":"","parse-names":false,"suffix":""},{"dropping-particle":"","family":"Janion-Scheepers","given":"Charlene","non-dropping-particle":"","parse-names":false,"suffix":""},{"dropping-particle":"","family":"Jarzyna","given":"Marta A","non-dropping-particle":"","parse-names":false,"suffix":""},{"dropping-particle":"","family":"Jennings","given":"Sarah","non-dropping-particle":"","parse-names":false,"suffix":""},{"dropping-particle":"","family":"Lenoir","given":"Jonathan","non-dropping-particle":"","parse-names":false,"suffix":""},{"dropping-particle":"","family":"Linnetved","given":"Hlif I","non-dropping-particle":"","parse-names":false,"suffix":""},{"dropping-particle":"","family":"Martin","given":"Victoria Y","non-dropping-particle":"","parse-names":false,"suffix":""},{"dropping-particle":"","family":"McCormack","given":"Phillipa C","non-dropping-particle":"","parse-names":false,"suffix":""},{"dropping-particle":"","family":"McDonald","given":"Jan","non-dropping-particle":"","parse-names":false,"suffix":""},{"dropping-particle":"","family":"Mitchell","given":"Nicola J","non-dropping-particle":"","parse-names":false,"suffix":""},{"dropping-particle":"","family":"Mustonen","given":"Tero","non-dropping-particle":"","parse-names":false,"suffix":""},{"dropping-particle":"","family":"Pandolfi","given":"John M","non-dropping-particle":"","parse-names":false,"suffix":""},{"dropping-particle":"","family":"Pettorelli","given":"Nathalie","non-dropping-particle":"","parse-names":false,"suffix":""},{"dropping-particle":"","family":"Popova","given":"Ekaterina","non-dropping-particle":"","parse-names":false,"suffix":""},{"dropping-particle":"","family":"Robinson","given":"Sharon A","non-dropping-particle":"","parse-names":false,"suffix":""},{"dropping-particle":"","family":"Scheffers","given":"Brett R","non-dropping-particle":"","parse-names":false,"suffix":""},{"dropping-particle":"","family":"Shaw","given":"Justine D","non-dropping-particle":"","parse-names":false,"suffix":""},{"dropping-particle":"","family":"Sorte","given":"Cascade J B","non-dropping-particle":"","parse-names":false,"suffix":""},{"dropping-particle":"","family":"Strugnell","given":"Jan M","non-dropping-particle":"","parse-names":false,"suffix":""},{"dropping-particle":"","family":"Sunday","given":"Jennifer M","non-dropping-particle":"","parse-names":false,"suffix":""},{"dropping-particle":"","family":"Tuanmu","given":"Mao-Ning","non-dropping-particle":"","parse-names":false,"suffix":""},{"dropping-particle":"","family":"Vergés","given":"Adriana","non-dropping-particle":"","parse-names":false,"suffix":""},{"dropping-particle":"","family":"Villanueva","given":"Cecilia","non-dropping-particle":"","parse-names":false,"suffix":""},{"dropping-particle":"","family":"Wernberg","given":"Thomas","non-dropping-particle":"","parse-names":false,"suffix":""},{"dropping-particle":"","family":"Wapstra","given":"Erik","non-dropping-particle":"","parse-names":false,"suffix":""},{"dropping-particle":"","family":"Williams","given":"Stephen E","non-dropping-particle":"","parse-names":false,"suffix":""}],"container-title":"Science","id":"ITEM-2","issue":"6332","issued":{"date-parts":[["2017"]]},"title":"Biodiversity redistribution under climate change: Impacts on ecosystems and human well-being","type":"article-journal","volume":"355"},"uris":["http://www.mendeley.com/documents/?uuid=44259d19-570b-4b0d-b022-44b5463a4e5d"]}],"mendeley":{"formattedCitation":"(&lt;i&gt;1&lt;/i&gt;, &lt;i&gt;25&lt;/i&gt;)","plainTextFormattedCitation":"(1, 25)","previouslyFormattedCitation":"(&lt;i&gt;1&lt;/i&gt;, &lt;i&gt;25&lt;/i&gt;)"},"properties":{"noteIndex":0},"schema":"https://github.com/citation-style-language/schema/raw/master/csl-citation.json"}</w:instrText>
      </w:r>
      <w:r w:rsidR="00615848" w:rsidRPr="008E0C1D">
        <w:rPr>
          <w:color w:val="000000" w:themeColor="text1"/>
          <w:sz w:val="24"/>
          <w:szCs w:val="24"/>
          <w:lang w:val="en-GB"/>
        </w:rPr>
        <w:fldChar w:fldCharType="separate"/>
      </w:r>
      <w:r w:rsidR="00D72CB3" w:rsidRPr="008E0C1D">
        <w:rPr>
          <w:noProof/>
          <w:color w:val="000000" w:themeColor="text1"/>
          <w:sz w:val="24"/>
          <w:szCs w:val="24"/>
          <w:lang w:val="en-GB"/>
        </w:rPr>
        <w:t>(</w:t>
      </w:r>
      <w:r w:rsidR="00D72CB3" w:rsidRPr="008E0C1D">
        <w:rPr>
          <w:i/>
          <w:noProof/>
          <w:color w:val="000000" w:themeColor="text1"/>
          <w:sz w:val="24"/>
          <w:szCs w:val="24"/>
          <w:lang w:val="en-GB"/>
        </w:rPr>
        <w:t>1</w:t>
      </w:r>
      <w:r w:rsidR="00D72CB3" w:rsidRPr="008E0C1D">
        <w:rPr>
          <w:noProof/>
          <w:color w:val="000000" w:themeColor="text1"/>
          <w:sz w:val="24"/>
          <w:szCs w:val="24"/>
          <w:lang w:val="en-GB"/>
        </w:rPr>
        <w:t xml:space="preserve">, </w:t>
      </w:r>
      <w:r w:rsidR="00D72CB3" w:rsidRPr="008E0C1D">
        <w:rPr>
          <w:i/>
          <w:noProof/>
          <w:color w:val="000000" w:themeColor="text1"/>
          <w:sz w:val="24"/>
          <w:szCs w:val="24"/>
          <w:lang w:val="en-GB"/>
        </w:rPr>
        <w:t>25</w:t>
      </w:r>
      <w:r w:rsidR="00D72CB3" w:rsidRPr="008E0C1D">
        <w:rPr>
          <w:noProof/>
          <w:color w:val="000000" w:themeColor="text1"/>
          <w:sz w:val="24"/>
          <w:szCs w:val="24"/>
          <w:lang w:val="en-GB"/>
        </w:rPr>
        <w:t>)</w:t>
      </w:r>
      <w:r w:rsidR="00615848" w:rsidRPr="008E0C1D">
        <w:rPr>
          <w:color w:val="000000" w:themeColor="text1"/>
          <w:sz w:val="24"/>
          <w:szCs w:val="24"/>
          <w:lang w:val="en-GB"/>
        </w:rPr>
        <w:fldChar w:fldCharType="end"/>
      </w:r>
      <w:r w:rsidR="00615848" w:rsidRPr="008E0C1D">
        <w:rPr>
          <w:rFonts w:eastAsia="Times New Roman"/>
          <w:color w:val="000000" w:themeColor="text1"/>
          <w:sz w:val="24"/>
          <w:szCs w:val="24"/>
        </w:rPr>
        <w:t xml:space="preserve">. Forest managers and policymakers should therefore consider the effects of different forest management </w:t>
      </w:r>
      <w:r w:rsidR="00615848" w:rsidRPr="008E0C1D">
        <w:rPr>
          <w:rFonts w:eastAsia="Times New Roman"/>
          <w:color w:val="000000" w:themeColor="text1"/>
          <w:sz w:val="24"/>
          <w:szCs w:val="24"/>
        </w:rPr>
        <w:lastRenderedPageBreak/>
        <w:t>practices on local microclimates in their endeavours to safeguard forest biodiversity in a warming world.</w:t>
      </w:r>
    </w:p>
    <w:p w14:paraId="3E22643D" w14:textId="56E3616B"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O</w:t>
      </w:r>
      <w:sdt>
        <w:sdtPr>
          <w:rPr>
            <w:color w:val="000000" w:themeColor="text1"/>
            <w:sz w:val="24"/>
            <w:szCs w:val="24"/>
          </w:rPr>
          <w:tag w:val="goog_rdk_9"/>
          <w:id w:val="-722130560"/>
        </w:sdtPr>
        <w:sdtEndPr/>
        <w:sdtContent/>
      </w:sdt>
      <w:sdt>
        <w:sdtPr>
          <w:rPr>
            <w:color w:val="000000" w:themeColor="text1"/>
            <w:sz w:val="24"/>
            <w:szCs w:val="24"/>
          </w:rPr>
          <w:tag w:val="goog_rdk_10"/>
          <w:id w:val="1518891166"/>
        </w:sdtPr>
        <w:sdtEndPr/>
        <w:sdtContent/>
      </w:sdt>
      <w:r w:rsidRPr="008E0C1D">
        <w:rPr>
          <w:rFonts w:eastAsia="Times New Roman"/>
          <w:color w:val="000000" w:themeColor="text1"/>
          <w:sz w:val="24"/>
          <w:szCs w:val="24"/>
        </w:rPr>
        <w:t xml:space="preserve">ur results support the hypothesis that the thermophilisation rate in forest </w:t>
      </w:r>
      <w:r w:rsidR="00343018" w:rsidRPr="008E0C1D">
        <w:rPr>
          <w:rFonts w:eastAsia="Times New Roman"/>
          <w:color w:val="000000" w:themeColor="text1"/>
          <w:sz w:val="24"/>
          <w:szCs w:val="24"/>
        </w:rPr>
        <w:t>understorey</w:t>
      </w:r>
      <w:r w:rsidRPr="008E0C1D">
        <w:rPr>
          <w:rFonts w:eastAsia="Times New Roman"/>
          <w:color w:val="000000" w:themeColor="text1"/>
          <w:sz w:val="24"/>
          <w:szCs w:val="24"/>
        </w:rPr>
        <w:t xml:space="preserve"> plant communities is primarily driven by the rate of sub-canopy microclimate change</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{"citationItems":[{"id":"ITEM-1","itemData":{"DOI":"10.1038/nature10548","ISSN":"1476-4687 (Electronic) 0028-0836 (Linking)","abstract":"Climate change is driving latitudinal and altitudinal shifts in species distribution worldwide, leading to novel species assemblages. Lags between these biotic responses and contemporary climate changes have been reported for plants and animals. Theoretically, the magnitude of these lags should be greatest in lowland areas, where the velocity of climate change is expected to be much greater than that in highland areas. We compared temperature trends to temperatures reconstructed from plant assemblages (observed in 76,634 surveys) over a 44-year period in France (1965-2008). Here we report that forest plant communities had responded to 0.54 degrees C of the effective increase of 1.07 degrees C in highland areas (500-2,600 m above sea level), while they had responded to only 0.02 degrees C of the 1.11 degrees C warming trend in lowland areas. There was a larger temperature lag (by 3.1 times) between the climate and plant community composition in lowland forests than in highland forests. The explanation of such disparity lies in the following properties of lowland, as compared to highland, forests: the higher proportion of species with greater ability for local persistence as the climate warms, the reduced opportunity for short-distance escapes, and the greater habitat fragmentation. Although mountains are currently considered to be among the ecosystems most threatened by climate change (owing to mountaintop extinction), the current inertia of plant communities in lowland forests should also be noted, as it could lead to lowland biotic attrition.","author":[{"dropping-particle":"","family":"Bertrand","given":"R","non-dropping-particle":"","parse-names":false,"suffix":""},{"dropping-particle":"","family":"Lenoir","given":"J","non-dropping-particle":"","parse-names":false,"suffix":""},{"dropping-particle":"","family":"Piedallu","given":"C","non-dropping-particle":"","parse-names":false,"suffix":""},{"dropping-particle":"","family":"Riofrio-Dillon","given":"G","non-dropping-particle":"","parse-names":false,"suffix":""},{"dropping-particle":"","family":"Ruffray","given":"P","non-dropping-particle":"de","parse-names":false,"suffix":""},{"dropping-particle":"","family":"Vidal","given":"C","non-dropping-particle":"","parse-names":false,"suffix":""},{"dropping-particle":"","family":"Pierrat","given":"J C","non-dropping-particle":"","parse-names":false,"suffix":""},{"dropping-particle":"","family":"Gegout","given":"J C","non-dropping-particle":"","parse-names":false,"suffix":""}],"container-title":"Nature","id":"ITEM-1","issue":"7374","issued":{"date-parts":[["2011"]]},"note":"Bertrand, Romain\nLenoir, Jonathan\nPiedallu, Christian\nRiofrio-Dillon, Gabriela\nde Ruffray, Patrice\nVidal, Claude\nPierrat, Jean-Claude\nGegout, Jean-Claude\neng\nHistorical Article\nResearch Support, Non-U.S. Gov't\nEngland\n2011/10/21 06:00\nNature. 2011 Oct 19;479(7374):517-20. doi: 10.1038/nature10548.","page":"517-520","publisher-place":"AgroParisTech, ENGREF, UMR1092 Laboratoire d'Etude des Ressources Foret-Bois (LERFoB), 14 rue Girardet, F-54000 Nancy, France. romain.bertrand@engref.agroparistech.fr","title":"Changes in plant community composition lag behind climate warming in lowland forests","type":"article-journal","volume":"479"},"uris":["http://www.mendeley.com/documents/?uuid=a87d5a07-e5d6-459a-849d-d613b3624dde"]},{"id":"ITEM-2","itemData":{"DOI":"10.1038/s41586-018-0715-9","ISSN":"0028-0836","abstract":"Global warming is forcing many species to shift their distributions upward, causing consequent changes in the compositions of species that occur at specific locations. This prediction remains largely untested for tropical trees. Here we show, using a database of nearly 200 Andean forest plot inventories spread across more than 33.5° latitude (from 26.8° S to 7.1° N) and 3,000-m elevation (from 360 to 3,360 m above sea level), that tropical and subtropical tree communities are experiencing directional shifts in composition towards having greater relative abundances of species from lower, warmer elevations. Although this phenomenon of ‘thermophilization’ is widespread throughout the Andes, the rates of compositional change are not uniform across elevations. The observed heterogeneity in thermophilization rates is probably because of different warming rates and/or the presence of specialized tree communities at ecotones (that is, at the transitions between distinct habitats, such as at the timberline or at the base of the cloud forest). Understanding the factors that determine the directions and rates of compositional changes will enable us to better predict, and potentially mitigate, the effects of climate change on tropical forests.","author":[{"dropping-particle":"","family":"Fadrique","given":"Belén","non-dropping-particle":"","parse-names":false,"suffix":""},{"dropping-particle":"","family":"Báez","given":"Selene","non-dropping-particle":"","parse-names":false,"suffix":""},{"dropping-particle":"","family":"Duque","given":"Álvaro","non-dropping-particle":"","parse-names":false,"suffix":""},{"dropping-particle":"","family":"Malizia","given":"Agustina","non-dropping-particle":"","parse-names":false,"suffix":""},{"dropping-particle":"","family":"Blundo","given":"Cecilia","non-dropping-particle":"","parse-names":false,"suffix":""},{"dropping-particle":"","family":"Carilla","given":"Julieta","non-dropping-particle":"","parse-names":false,"suffix":""},{"dropping-particle":"","family":"Osinaga-Acosta","given":"Oriana","non-dropping-particle":"","parse-names":false,"suffix":""},{"dropping-particle":"","family":"Malizia","given":"Lucio","non-dropping-particle":"","parse-names":false,"suffix":""},{"dropping-particle":"","family":"Silman","given":"Miles","non-dropping-particle":"","parse-names":false,"suffix":""},{"dropping-particle":"","family":"Farfán-Ríos","given":"William","non-dropping-particle":"","parse-names":false,"suffix":""},{"dropping-particle":"","family":"Malhi","given":"Yadvinder","non-dropping-particle":"","parse-names":false,"suffix":""},{"dropping-particle":"","family":"Young","given":"Kenneth R.","non-dropping-particle":"","parse-names":false,"suffix":""},{"dropping-particle":"","family":"Cuesta C.","given":"Francisco","non-dropping-particle":"","parse-names":false,"suffix":""},{"dropping-particle":"","family":"Homeier","given":"Jurgen","non-dropping-particle":"","parse-names":false,"suffix":""},{"dropping-particle":"","family":"Peralvo","given":"Manuel","non-dropping-particle":"","parse-names":false,"suffix":""},{"dropping-particle":"","family":"Pinto","given":"Esteban","non-dropping-particle":"","parse-names":false,"suffix":""},{"dropping-particle":"","family":"Jadan","given":"Oswaldo","non-dropping-particle":"","parse-names":false,"suffix":""},{"dropping-particle":"","family":"Aguirre","given":"Nikolay","non-dropping-particle":"","parse-names":false,"suffix":""},{"dropping-particle":"","family":"Aguirre","given":"Zhofre","non-dropping-particle":"","parse-names":false,"suffix":""},{"dropping-particle":"","family":"Feeley","given":"Kenneth J.","non-dropping-particle":"","parse-names":false,"suffix":""}],"container-title":"Nature","id":"ITEM-2","issued":{"date-parts":[["2018"]]},"page":"207-212","title":"Widespread but heterogeneous responses of Andean forests to climate change","type":"article-journal","volume":"564"},"uris":["http://www.mendeley.com/documents/?uuid=e6257b7d-4e8d-420d-97c0-5fa102877df9"]}],"mendeley":{"formattedCitation":"(&lt;i&gt;10&lt;/i&gt;, &lt;i&gt;12&lt;/i&gt;)","plainTextFormattedCitation":"(10, 12)","previouslyFormattedCitation":"(&lt;i&gt;10&lt;/i&gt;, &lt;i&gt;12&lt;/i&gt;)"},"properties":{"noteIndex":0},"schema":"https://github.com/citation-style-language/schema/raw/master/csl-citation.json"}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10</w:t>
      </w:r>
      <w:r w:rsidR="004549C6" w:rsidRPr="008E0C1D">
        <w:rPr>
          <w:noProof/>
          <w:color w:val="000000" w:themeColor="text1"/>
          <w:sz w:val="24"/>
          <w:szCs w:val="24"/>
          <w:lang w:val="en-GB"/>
        </w:rPr>
        <w:t xml:space="preserve">, </w:t>
      </w:r>
      <w:r w:rsidR="004549C6" w:rsidRPr="008E0C1D">
        <w:rPr>
          <w:i/>
          <w:noProof/>
          <w:color w:val="000000" w:themeColor="text1"/>
          <w:sz w:val="24"/>
          <w:szCs w:val="24"/>
          <w:lang w:val="en-GB"/>
        </w:rPr>
        <w:t>12</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 xml:space="preserve"> and not by the rate of macroclimate change</w:t>
      </w:r>
      <w:r w:rsidRPr="008E0C1D">
        <w:rPr>
          <w:rFonts w:eastAsia="Times New Roman"/>
          <w:color w:val="000000" w:themeColor="text1"/>
          <w:sz w:val="24"/>
          <w:szCs w:val="24"/>
        </w:rPr>
        <w:t>. This finding provides empirical evidence that microclimate change ultimately drive organismal responses to climate change, a frequently ignored fact when using macroclimate data to study biotic responses to climate change</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DD1A8A" w:rsidRPr="008E0C1D">
        <w:rPr>
          <w:color w:val="000000" w:themeColor="text1"/>
          <w:sz w:val="24"/>
          <w:szCs w:val="24"/>
          <w:lang w:val="en-GB"/>
        </w:rPr>
        <w:instrText>ADDIN CSL_CITATION {"citationItems":[{"id":"ITEM-1","itemData":{"DOI":"10.1016/bs.aecr.2017.12.005","ISSN":"00652504","author":[{"dropping-particle":"","family":"Bramer","given":"Isobel","non-dropping-particle":"","parse-names":false,"suffix":""},{"dropping-particle":"","family":"Anderson","given":"Barbara J","non-dropping-particle":"","parse-names":false,"suffix":""},{"dropping-particle":"","family":"Bennie","given":"Jonathan","non-dropping-particle":"","parse-names":false,"suffix":""},{"dropping-particle":"","family":"Bladon","given":"Andrew J","non-dropping-particle":"","parse-names":false,"suffix":""},{"dropping-particle":"","family":"Frenne","given":"Pieter","non-dropping-particle":"De","parse-names":false,"suffix":""},{"dropping-particle":"","family":"Hemming","given":"Deborah","non-dropping-particle":"","parse-names":false,"suffix":""},{"dropping-particle":"","family":"Hill","given":"Ross A","non-dropping-particle":"","parse-names":false,"suffix":""},{"dropping-particle":"","family":"Kearney","given":"Michael R","non-dropping-particle":"","parse-names":false,"suffix":""},{"dropping-particle":"","family":"Körner","given":"Christian","non-dropping-particle":"","parse-names":false,"suffix":""},{"dropping-particle":"","family":"Korstjens","given":"Amanda H","non-dropping-particle":"","parse-names":false,"suffix":""},{"dropping-particle":"","family":"Lenoir","given":"Jonathan","non-dropping-particle":"","parse-names":false,"suffix":""},{"dropping-particle":"","family":"Maclean","given":"Ilya M D","non-dropping-particle":"","parse-names":false,"suffix":""},{"dropping-particle":"","family":"Marsh","given":"Christopher D","non-dropping-particle":"","parse-names":false,"suffix":""},{"dropping-particle":"","family":"Morecroft","given":"Michael D","non-dropping-particle":"","parse-names":false,"suffix":""},{"dropping-particle":"","family":"Ohlemüller","given":"Ralf","non-dropping-particle":"","parse-names":false,"suffix":""},{"dropping-particle":"","family":"Slater","given":"Helen D","non-dropping-particle":"","parse-names":false,"suffix":""},{"dropping-particle":"","family":"Suggitt","given":"Andrew J","non-dropping-particle":"","parse-names":false,"suffix":""},{"dropping-particle":"","family":"Zellweger","given":"Florian","non-dropping-particle":"","parse-names":false,"suffix":""},{"dropping-particle":"","family":"Gillingham","given":"Phillipa K","non-dropping-particle":"","parse-names":false,"suffix":""}],"container-title":"Advances in Ecological Research","id":"ITEM-1","issued":{"date-parts":[["2018"]]},"page":"101-161","title":"Advances in Monitoring and Modelling Climate at Ecologically Relevant Scales","type":"article-journal","volume":"58"},"uris":["http://www.mendeley.com/documents/?uuid=a57d949a-9cf1-4f26-ab80-89758bf869ac"]},{"id":"ITEM-2","itemData":{"DOI":"10.1111/gcb.12257","ISSN":"1365-2486 (Electronic) 1354-1013 (Linking)","abstract":"Despite decades of work on climate change biology, the scientific community remains uncertain about where and when most species distributions will respond to altered climates. A major barrier is the spatial mismatch between the size of organisms and the scale at which climate data are collected and modeled. Using a meta-analysis of published literature, we show that grid lengths in species distribution models are, on average, ca. 10 000-fold larger than the animals they study, and ca. 1000-fold larger than the plants they study. And the gap is even worse than these ratios indicate, as most work has focused on organisms that are significantly biased toward large size. This mismatch is problematic because organisms do not experience climate on coarse scales. Rather, they live in microclimates, which can be highly heterogeneous and strongly divergent from surrounding macroclimates. Bridging the spatial gap should be a high priority for research and will require gathering climate data at finer scales, developing better methods for downscaling environmental data to microclimates, and improving our statistical understanding of variation at finer scales. Interdisciplinary collaborations (including ecologists, engineers, climatologists, meteorologists, statisticians, and geographers) will be key to bridging the gap, and ultimately to providing scientifically grounded data and recommendations to conservation biologists and policy makers.","author":[{"dropping-particle":"","family":"Potter","given":"K A","non-dropping-particle":"","parse-names":false,"suffix":""},{"dropping-particle":"","family":"Arthur Woods","given":"H","non-dropping-particle":"","parse-names":false,"suffix":""},{"dropping-particle":"","family":"Pincebourde","given":"S","non-dropping-particle":"","parse-names":false,"suffix":""}],"container-title":"Global Change Biology","id":"ITEM-2","issue":"10","issued":{"date-parts":[["2013"]]},"note":"Potter, Kristen A\nArthur Woods, H\nPincebourde, Sylvain\neng\nResearch Support, Non-U.S. Gov't\nResearch Support, U.S. Gov't, Non-P.H.S.\nEngland\n2013/05/18 06:00\nGlob Chang Biol. 2013 Oct;19(10):2932-9. doi: 10.1111/gcb.12257. Epub 2013 Aug 8.","page":"2932-2939","publisher-place":"Division of Biological Sciences, University of Montana, Missoula, MT, 59812, USA; School of Forestry, Northern Arizona University, Flagstaff, AZ, 86011, USA.","title":"Microclimatic challenges in global change biology","type":"article-journal","volume":"19"},"uris":["http://www.mendeley.com/documents/?uuid=cba35aee-35dd-4c98-997b-5194cada815d"]},{"id":"ITEM-3","itemData":{"DOI":"10.1111/ecog.02788","ISSN":"1600-0587","author":[{"dropping-particle":"","family":"Lenoir","given":"Jonathan","non-dropping-particle":"","parse-names":false,"suffix":""},{"dropping-particle":"","family":"Hattab","given":"Tarek","non-dropping-particle":"","parse-names":false,"suffix":""},{"dropping-particle":"","family":"Pierre","given":"Guillaume","non-dropping-particle":"","parse-names":false,"suffix":""}],"container-title":"Ecography","id":"ITEM-3","issue":"2","issued":{"date-parts":[["2017"]]},"page":"253-266","title":"Climatic microrefugia under anthropogenic climate change: implications for species redistribution","type":"article-journal","volume":"40"},"uris":["http://www.mendeley.com/documents/?uuid=fde89def-6b3f-4cbc-892e-43769c770fb2"]}],"mendeley":{"formattedCitation":"(&lt;i&gt;8&lt;/i&gt;, &lt;i&gt;26&lt;/i&gt;, &lt;i&gt;27&lt;/i&gt;)","plainTextFormattedCitation":"(8, 26, 27)","previouslyFormattedCitation":"(&lt;i&gt;8&lt;/i&gt;, &lt;i&gt;26&lt;/i&gt;, &lt;i&gt;27&lt;/i&gt;)"},"properties":{"noteIndex":0},"schema":"https://github.com/citation-style-language/schema/raw/master/csl-citation.json"}</w:instrText>
      </w:r>
      <w:r w:rsidRPr="008E0C1D">
        <w:rPr>
          <w:color w:val="000000" w:themeColor="text1"/>
          <w:sz w:val="24"/>
          <w:szCs w:val="24"/>
          <w:lang w:val="en-GB"/>
        </w:rPr>
        <w:fldChar w:fldCharType="separate"/>
      </w:r>
      <w:r w:rsidR="00D72CB3" w:rsidRPr="008E0C1D">
        <w:rPr>
          <w:noProof/>
          <w:color w:val="000000" w:themeColor="text1"/>
          <w:sz w:val="24"/>
          <w:szCs w:val="24"/>
          <w:lang w:val="en-GB"/>
        </w:rPr>
        <w:t>(</w:t>
      </w:r>
      <w:r w:rsidR="00D72CB3" w:rsidRPr="008E0C1D">
        <w:rPr>
          <w:i/>
          <w:noProof/>
          <w:color w:val="000000" w:themeColor="text1"/>
          <w:sz w:val="24"/>
          <w:szCs w:val="24"/>
          <w:lang w:val="en-GB"/>
        </w:rPr>
        <w:t>8</w:t>
      </w:r>
      <w:r w:rsidR="00D72CB3" w:rsidRPr="008E0C1D">
        <w:rPr>
          <w:noProof/>
          <w:color w:val="000000" w:themeColor="text1"/>
          <w:sz w:val="24"/>
          <w:szCs w:val="24"/>
          <w:lang w:val="en-GB"/>
        </w:rPr>
        <w:t xml:space="preserve">, </w:t>
      </w:r>
      <w:r w:rsidR="00D72CB3" w:rsidRPr="008E0C1D">
        <w:rPr>
          <w:i/>
          <w:noProof/>
          <w:color w:val="000000" w:themeColor="text1"/>
          <w:sz w:val="24"/>
          <w:szCs w:val="24"/>
          <w:lang w:val="en-GB"/>
        </w:rPr>
        <w:t>26</w:t>
      </w:r>
      <w:r w:rsidR="00D72CB3" w:rsidRPr="008E0C1D">
        <w:rPr>
          <w:noProof/>
          <w:color w:val="000000" w:themeColor="text1"/>
          <w:sz w:val="24"/>
          <w:szCs w:val="24"/>
          <w:lang w:val="en-GB"/>
        </w:rPr>
        <w:t xml:space="preserve">, </w:t>
      </w:r>
      <w:r w:rsidR="00D72CB3" w:rsidRPr="008E0C1D">
        <w:rPr>
          <w:i/>
          <w:noProof/>
          <w:color w:val="000000" w:themeColor="text1"/>
          <w:sz w:val="24"/>
          <w:szCs w:val="24"/>
          <w:lang w:val="en-GB"/>
        </w:rPr>
        <w:t>27</w:t>
      </w:r>
      <w:r w:rsidR="00D72CB3"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w:t>
      </w:r>
    </w:p>
    <w:p w14:paraId="486C3F31" w14:textId="1A7DC266"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Increasing climatic debts in community responses to climate change mean that a growing number of species are occurring in sub-optimal climatic conditions, potentially accelerating the loss of biodiversity. Our results suggest that microclimates can amplify as well as decrease the disequilibrium between community responses and macroclimate change, suggesting that climatic debts based on macroclimate data</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004549C6" w:rsidRPr="008E0C1D">
        <w:rPr>
          <w:rFonts w:eastAsia="Times New Roman"/>
          <w:color w:val="000000" w:themeColor="text1"/>
          <w:sz w:val="24"/>
          <w:szCs w:val="24"/>
        </w:rPr>
        <w:instrText>ADDIN CSL_CITATION {"citationItems":[{"id":"ITEM-1","itemData":{"DOI":"10.1038/nclimate1347","ISSN":"1758-678X 1758-6798","author":[{"dropping-particle":"","family":"Devictor","given":"Vincent","non-dropping-particle":"","parse-names":false,"suffix":""},{"dropping-particle":"","family":"Swaay","given":"Chris","non-dropping-particle":"van","parse-names":false,"suffix":""},{"dropping-particle":"","family":"Brereton","given":"Tom","non-dropping-particle":"","parse-names":false,"suffix":""},{"dropping-particle":"","family":"Brotons","given":"Lluı´s","non-dropping-particle":"","parse-names":false,"suffix":""},{"dropping-particle":"","family":"Chamberlain","given":"Dan","non-dropping-particle":"","parse-names":false,"suffix":""},{"dropping-particle":"","family":"Heliölä","given":"Janne","non-dropping-particle":"","parse-names":false,"suffix":""},{"dropping-particle":"","family":"Herrando","given":"Sergi","non-dropping-particle":"","parse-names":false,"suffix":""},{"dropping-particle":"","family":"Julliard","given":"Romain","non-dropping-particle":"","parse-names":false,"suffix":""},{"dropping-particle":"","family":"Kuussaari","given":"Mikko","non-dropping-particle":"","parse-names":false,"suffix":""},{"dropping-particle":"","family":"Lindström","given":"Åke","non-dropping-particle":"","parse-names":false,"suffix":""},{"dropping-particle":"","family":"Reif","given":"Jiřı´","non-dropping-particle":"","parse-names":false,"suffix":""},{"dropping-particle":"","family":"Roy","given":"David B","non-dropping-particle":"","parse-names":false,"suffix":""},{"dropping-particle":"","family":"Schweiger","given":"Oliver","non-dropping-particle":"","parse-names":false,"suffix":""},{"dropping-particle":"","family":"Settele","given":"Josef","non-dropping-particle":"","parse-names":false,"suffix":""},{"dropping-particle":"","family":"Stefanescu","given":"Constantı´","non-dropping-particle":"","parse-names":false,"suffix":""},{"dropping-particle":"","family":"Strien","given":"Arco","non-dropping-particle":"Van","parse-names":false,"suffix":""},{"dropping-particle":"","family":"Turnhout","given":"Chris","non-dropping-particle":"Van","parse-names":false,"suffix":""},{"dropping-particle":"","family":"Vermouzek","given":"Zdeněk","non-dropping-particle":"","parse-names":false,"suffix":""},{"dropping-particle":"","family":"WallisDeVries","given":"Michiel","non-dropping-particle":"","parse-names":false,"suffix":""},{"dropping-particle":"","family":"Wynhoff","given":"Irma","non-dropping-particle":"","parse-names":false,"suffix":""},{"dropping-particle":"","family":"Jiguet","given":"Frédéric","non-dropping-particle":"","parse-names":false,"suffix":""}],"container-title":"Nature Climate Change","id":"ITEM-1","issue":"2","issued":{"date-parts":[["2012"]]},"page":"121-124","title":"Differences in the climatic debts of birds and butterflies at a continental scale","type":"article-journal","volume":"2"},"uris":["http://www.mendeley.com/documents/?uuid=d4b4f2cc-358a-473b-8a16-0667af85637b"]},{"id":"ITEM-2","itemData":{"DOI":"10.1038/ncomms12643 http://www.nature.com/articles/ncomms12643#supplementary-information","author":[{"dropping-particle":"","family":"Bertrand","given":"Romain","non-dropping-particle":"","parse-names":false,"suffix":""},{"dropping-particle":"","family":"Riofrío-Dillon","given":"Gabriela","non-dropping-particle":"","parse-names":false,"suffix":""},{"dropping-particle":"","family":"Lenoir","given":"Jonathan","non-dropping-particle":"","parse-names":false,"suffix":""},{"dropping-particle":"","family":"Drapier","given":"Jacques","non-dropping-particle":"","parse-names":false,"suffix":""},{"dropping-particle":"","family":"Ruffray","given":"Patrice","non-dropping-particle":"de","parse-names":false,"suffix":""},{"dropping-particle":"","family":"Gégout","given":"Jean-Claude","non-dropping-particle":"","parse-names":false,"suffix":""},{"dropping-particle":"","family":"Loreau","given":"Michel","non-dropping-particle":"","parse-names":false,"suffix":""}],"container-title":"Nature Communications","id":"ITEM-2","issued":{"date-parts":[["2016"]]},"page":"12643","title":"Ecological constraints increase the climatic debt in forests","type":"article-journal","volume":"7"},"uris":["http://www.mendeley.com/documents/?uuid=2c5379be-2794-4dd8-a5e2-3fb8b3893201"]}],"mendeley":{"formattedCitation":"(&lt;i&gt;13&lt;/i&gt;, &lt;i&gt;20&lt;/i&gt;)","plainTextFormattedCitation":"(13, 20)","previouslyFormattedCitation":"(&lt;i&gt;13&lt;/i&gt;, &lt;i&gt;20&lt;/i&gt;)"},"properties":{"noteIndex":0},"schema":"https://github.com/citation-style-language/schema/raw/master/csl-citation.json"}</w:instrText>
      </w:r>
      <w:r w:rsidRPr="008E0C1D">
        <w:rPr>
          <w:rFonts w:eastAsia="Times New Roman"/>
          <w:color w:val="000000" w:themeColor="text1"/>
          <w:sz w:val="24"/>
          <w:szCs w:val="24"/>
        </w:rPr>
        <w:fldChar w:fldCharType="separate"/>
      </w:r>
      <w:r w:rsidR="004549C6" w:rsidRPr="008E0C1D">
        <w:rPr>
          <w:rFonts w:eastAsia="Times New Roman"/>
          <w:noProof/>
          <w:color w:val="000000" w:themeColor="text1"/>
          <w:sz w:val="24"/>
          <w:szCs w:val="24"/>
        </w:rPr>
        <w:t>(</w:t>
      </w:r>
      <w:r w:rsidR="004549C6" w:rsidRPr="008E0C1D">
        <w:rPr>
          <w:rFonts w:eastAsia="Times New Roman"/>
          <w:i/>
          <w:noProof/>
          <w:color w:val="000000" w:themeColor="text1"/>
          <w:sz w:val="24"/>
          <w:szCs w:val="24"/>
        </w:rPr>
        <w:t>13</w:t>
      </w:r>
      <w:r w:rsidR="004549C6" w:rsidRPr="008E0C1D">
        <w:rPr>
          <w:rFonts w:eastAsia="Times New Roman"/>
          <w:noProof/>
          <w:color w:val="000000" w:themeColor="text1"/>
          <w:sz w:val="24"/>
          <w:szCs w:val="24"/>
        </w:rPr>
        <w:t xml:space="preserve">, </w:t>
      </w:r>
      <w:r w:rsidR="004549C6" w:rsidRPr="008E0C1D">
        <w:rPr>
          <w:rFonts w:eastAsia="Times New Roman"/>
          <w:i/>
          <w:noProof/>
          <w:color w:val="000000" w:themeColor="text1"/>
          <w:sz w:val="24"/>
          <w:szCs w:val="24"/>
        </w:rPr>
        <w:t>20</w:t>
      </w:r>
      <w:r w:rsidR="004549C6"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Pr="008E0C1D">
        <w:rPr>
          <w:rFonts w:eastAsia="Times New Roman"/>
          <w:color w:val="000000" w:themeColor="text1"/>
          <w:sz w:val="24"/>
          <w:szCs w:val="24"/>
        </w:rPr>
        <w:t xml:space="preserve"> should be revisited and interpreted with caution. Microclimate data, therefore, considerably improves the local relevance of the climatic debt concept for climate</w:t>
      </w:r>
      <w:r w:rsidR="00A231E5" w:rsidRPr="008E0C1D">
        <w:rPr>
          <w:rFonts w:eastAsia="Times New Roman"/>
          <w:color w:val="000000" w:themeColor="text1"/>
          <w:sz w:val="24"/>
          <w:szCs w:val="24"/>
        </w:rPr>
        <w:t>-</w:t>
      </w:r>
      <w:r w:rsidRPr="008E0C1D">
        <w:rPr>
          <w:rFonts w:eastAsia="Times New Roman"/>
          <w:color w:val="000000" w:themeColor="text1"/>
          <w:sz w:val="24"/>
          <w:szCs w:val="24"/>
        </w:rPr>
        <w:t xml:space="preserve">change impact assessments on biodiversity, a field that will benefit from emerging </w:t>
      </w:r>
      <w:r w:rsidR="001539D1" w:rsidRPr="008E0C1D">
        <w:rPr>
          <w:rFonts w:eastAsia="Times New Roman"/>
          <w:color w:val="000000" w:themeColor="text1"/>
          <w:sz w:val="24"/>
          <w:szCs w:val="24"/>
        </w:rPr>
        <w:t>datasets and methods</w:t>
      </w:r>
      <w:r w:rsidR="00605D80" w:rsidRPr="008E0C1D">
        <w:rPr>
          <w:rFonts w:eastAsia="Times New Roman"/>
          <w:color w:val="000000" w:themeColor="text1"/>
          <w:sz w:val="24"/>
          <w:szCs w:val="24"/>
        </w:rPr>
        <w:t xml:space="preserve"> </w:t>
      </w:r>
      <w:r w:rsidRPr="008E0C1D">
        <w:rPr>
          <w:rFonts w:eastAsia="Times New Roman"/>
          <w:color w:val="000000" w:themeColor="text1"/>
          <w:sz w:val="24"/>
          <w:szCs w:val="24"/>
        </w:rPr>
        <w:t>to quantify microclimatic variability in space and over time</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3636B1" w:rsidRPr="008E0C1D">
        <w:rPr>
          <w:color w:val="000000" w:themeColor="text1"/>
          <w:sz w:val="24"/>
          <w:szCs w:val="24"/>
          <w:lang w:val="en-GB"/>
        </w:rPr>
        <w:instrText>ADDIN CSL_CITATION {"citationItems":[{"id":"ITEM-1","itemData":{"DOI":"https://doi.org/10.1016/j.tree.2018.12.012","author":[{"dropping-particle":"","family":"Zellweger","given":"Florian","non-dropping-particle":"","parse-names":false,"suffix":""},{"dropping-particle":"De","family":"Frenne","given":"Pieter","non-dropping-particle":"","parse-names":false,"suffix":""},{"dropping-particle":"","family":"Lenoir","given":"Jonathan","non-dropping-particle":"","parse-names":false,"suffix":""},{"dropping-particle":"","family":"Rocchini","given":"Duccio","non-dropping-particle":"","parse-names":false,"suffix":""},{"dropping-particle":"","family":"Coomes","given":"David","non-dropping-particle":"","parse-names":false,"suffix":""}],"container-title":"Trends in Ecology &amp; Evolution","id":"ITEM-1","issue":"4","issued":{"date-parts":[["2019"]]},"page":"327-341","title":"Advances in microclimate ecology arising from remote sensing","type":"article-journal","volume":"34"},"uris":["http://www.mendeley.com/documents/?uuid=daf6129b-fc2c-46b8-99da-407fe8f925bd"]},{"id":"ITEM-2","itemData":{"author":[{"dropping-particle":"","family":"Kearney","given":"Michael R.","non-dropping-particle":"","parse-names":false,"suffix":""},{"dropping-particle":"","family":"Gillingham","given":"Phillipa K","non-dropping-particle":"","parse-names":false,"suffix":""},{"dropping-particle":"","family":"Bramer","given":"Isobel","non-dropping-particle":"","parse-names":false,"suffix":""},{"dropping-particle":"","family":"Duffy","given":"J P","non-dropping-particle":"","parse-names":false,"suffix":""},{"dropping-particle":"","family":"Maclean","given":"Ilya M D","non-dropping-particle":"","parse-names":false,"suffix":""}],"container-title":"Methods in Ecology and Evolution","id":"ITEM-2","issue":"in press","issued":{"date-parts":[["2019"]]},"title":"A method for computing hourly, historical, terrain-corrected microclimate anywhere on Earth","type":"article-journal"},"uris":["http://www.mendeley.com/documents/?uuid=7714b08a-90b9-4ce2-9905-a554f08f0a08"]}],"mendeley":{"formattedCitation":"(&lt;i&gt;28&lt;/i&gt;, &lt;i&gt;29&lt;/i&gt;)","plainTextFormattedCitation":"(28, 29)","previouslyFormattedCitation":"(&lt;i&gt;28&lt;/i&gt;, &lt;i&gt;29&lt;/i&gt;)"},"properties":{"noteIndex":0},"schema":"https://github.com/citation-style-language/schema/raw/master/csl-citation.json"}</w:instrText>
      </w:r>
      <w:r w:rsidRPr="008E0C1D">
        <w:rPr>
          <w:color w:val="000000" w:themeColor="text1"/>
          <w:sz w:val="24"/>
          <w:szCs w:val="24"/>
          <w:lang w:val="en-GB"/>
        </w:rPr>
        <w:fldChar w:fldCharType="separate"/>
      </w:r>
      <w:r w:rsidR="006612EC" w:rsidRPr="008E0C1D">
        <w:rPr>
          <w:noProof/>
          <w:color w:val="000000" w:themeColor="text1"/>
          <w:sz w:val="24"/>
          <w:szCs w:val="24"/>
          <w:lang w:val="en-GB"/>
        </w:rPr>
        <w:t>(</w:t>
      </w:r>
      <w:r w:rsidR="006612EC" w:rsidRPr="008E0C1D">
        <w:rPr>
          <w:i/>
          <w:noProof/>
          <w:color w:val="000000" w:themeColor="text1"/>
          <w:sz w:val="24"/>
          <w:szCs w:val="24"/>
          <w:lang w:val="en-GB"/>
        </w:rPr>
        <w:t>28</w:t>
      </w:r>
      <w:r w:rsidR="006612EC" w:rsidRPr="008E0C1D">
        <w:rPr>
          <w:noProof/>
          <w:color w:val="000000" w:themeColor="text1"/>
          <w:sz w:val="24"/>
          <w:szCs w:val="24"/>
          <w:lang w:val="en-GB"/>
        </w:rPr>
        <w:t xml:space="preserve">, </w:t>
      </w:r>
      <w:r w:rsidR="006612EC" w:rsidRPr="008E0C1D">
        <w:rPr>
          <w:i/>
          <w:noProof/>
          <w:color w:val="000000" w:themeColor="text1"/>
          <w:sz w:val="24"/>
          <w:szCs w:val="24"/>
          <w:lang w:val="en-GB"/>
        </w:rPr>
        <w:t>29</w:t>
      </w:r>
      <w:r w:rsidR="006612EC"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w:t>
      </w:r>
      <w:r w:rsidRPr="008E0C1D">
        <w:rPr>
          <w:rFonts w:eastAsia="Times New Roman"/>
          <w:color w:val="000000" w:themeColor="text1"/>
          <w:sz w:val="24"/>
          <w:szCs w:val="24"/>
        </w:rPr>
        <w:t xml:space="preserve"> In fact, high rates of microclimate warming can greatly exceed the capacity of </w:t>
      </w:r>
      <w:r w:rsidR="00343018" w:rsidRPr="008E0C1D">
        <w:rPr>
          <w:rFonts w:eastAsia="Times New Roman"/>
          <w:color w:val="000000" w:themeColor="text1"/>
          <w:sz w:val="24"/>
          <w:szCs w:val="24"/>
        </w:rPr>
        <w:t>understorey</w:t>
      </w:r>
      <w:r w:rsidRPr="008E0C1D">
        <w:rPr>
          <w:rFonts w:eastAsia="Times New Roman"/>
          <w:color w:val="000000" w:themeColor="text1"/>
          <w:sz w:val="24"/>
          <w:szCs w:val="24"/>
        </w:rPr>
        <w:t xml:space="preserve"> plant species to spatially track their thermal niche, suggesting that other factors limiting species establishment, such as plant-water relations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3636B1" w:rsidRPr="008E0C1D">
        <w:rPr>
          <w:color w:val="000000" w:themeColor="text1"/>
          <w:sz w:val="24"/>
          <w:szCs w:val="24"/>
          <w:lang w:val="en-GB"/>
        </w:rPr>
        <w:instrText>ADDIN CSL_CITATION {"citationItems":[{"id":"ITEM-1","itemData":{"DOI":"10.1111/gcb.12023","ISSN":"1354-1013 (Print) 1354-1013 (Linking)","abstract":"We review observational, experimental, and model results on how plants respond to extreme climatic conditions induced by changing climatic variability. Distinguishing between impacts of changing mean climatic conditions and changing climatic variability on terrestrial ecosystems is generally underrated in current studies. The goals of our review are thus (1) to identify plant processes that are vulnerable to changes in the variability of climatic variables rather than to changes in their mean, and (2) to depict/evaluate available study designs to quantify responses of plants to changing climatic variability. We find that phenology is largely affected by changing mean climate but also that impacts of climatic variability are much less studied, although potentially damaging. We note that plant water relations seem to be very vulnerable to extremes driven by changes in temperature and precipitation and that heat-waves and flooding have stronger impacts on physiological processes than changing mean climate. Moreover, interacting phenological and physiological processes are likely to further complicate plant responses to changing climatic variability. Phenological and physiological processes and their interactions culminate in even more sophisticated responses to changing mean climate and climatic variability at the species and community level. Generally, observational studies are well suited to study plant responses to changing mean climate, but less suitable to gain a mechanistic understanding of plant responses to climatic variability. Experiments seem best suited to simulate extreme events. In models, temporal resolution and model structure are crucial to capture plant responses to changing climatic variability. We highlight that a combination of experimental, observational, and/or modeling studies have the potential to overcome important caveats of the respective individual approaches.","author":[{"dropping-particle":"","family":"Reyer","given":"C P","non-dropping-particle":"","parse-names":false,"suffix":""},{"dropping-particle":"","family":"Leuzinger","given":"S","non-dropping-particle":"","parse-names":false,"suffix":""},{"dropping-particle":"","family":"Rammig","given":"A","non-dropping-particle":"","parse-names":false,"suffix":""},{"dropping-particle":"","family":"Wolf","given":"A","non-dropping-particle":"","parse-names":false,"suffix":""},{"dropping-particle":"","family":"Bartholomeus","given":"R P","non-dropping-particle":"","parse-names":false,"suffix":""},{"dropping-particle":"","family":"Bonfante","given":"A","non-dropping-particle":"","parse-names":false,"suffix":""},{"dropping-particle":"","family":"Lorenzi","given":"F","non-dropping-particle":"de","parse-names":false,"suffix":""},{"dropping-particle":"","family":"Dury","given":"M","non-dropping-particle":"","parse-names":false,"suffix":""},{"dropping-particle":"","family":"Gloning","given":"P","non-dropping-particle":"","parse-names":false,"suffix":""},{"dropping-particle":"","family":"Abou Jaoude","given":"R","non-dropping-particle":"","parse-names":false,"suffix":""},{"dropping-particle":"","family":"Klein","given":"T","non-dropping-particle":"","parse-names":false,"suffix":""},{"dropping-particle":"","family":"Kuster","given":"T M","non-dropping-particle":"","parse-names":false,"suffix":""},{"dropping-particle":"","family":"Martins","given":"M","non-dropping-particle":"","parse-names":false,"suffix":""},{"dropping-particle":"","family":"Niedrist","given":"G","non-dropping-particle":"","parse-names":false,"suffix":""},{"dropping-particle":"","family":"Riccardi","given":"M","non-dropping-particle":"","parse-names":false,"suffix":""},{"dropping-particle":"","family":"Wohlfahrt","given":"G","non-dropping-particle":"","parse-names":false,"suffix":""},{"dropping-particle":"","family":"Angelis","given":"P","non-dropping-particle":"de","parse-names":false,"suffix":""},{"dropping-particle":"","family":"Dato","given":"G","non-dropping-particle":"de","parse-names":false,"suffix":""},{"dropping-particle":"","family":"Francois","given":"L","non-dropping-particle":"","parse-names":false,"suffix":""},{"dropping-particle":"","family":"Menzel","given":"A","non-dropping-particle":"","parse-names":false,"suffix":""},{"dropping-particle":"","family":"Pereira","given":"M","non-dropping-particle":"","parse-names":false,"suffix":""}],"container-title":"Glob Chang Biol","id":"ITEM-1","issue":"1","issued":{"date-parts":[["2013"]]},"note":"Reyer, Christopher P O\nLeuzinger, Sebastian\nRammig, Anja\nWolf, Annett\nBartholomeus, Ruud P\nBonfante, Antonello\nde Lorenzi, Francesca\nDury, Marie\nGloning, Philipp\nAbou Jaoude, Renee\nKlein, Tamir\nKuster, Thomas M\nMartins, Monica\nNiedrist, Georg\nRiccardi, Maria\nWohlfahrt, Georg\nde Angelis, Paolo\nde Dato, Giovanbattista\nFrancois, Louis\nMenzel, Annette\nPereira, Marizia\neng\nP 17560/Austrian Science Fund FWF/Austria\nP 19849/Austrian Science Fund FWF/Austria\nP 23267/Austrian Science Fund FWF/Austria\nResearch Support, Non-U.S. Gov't\nReview\nEngland\n2013/03/19 06:00\nGlob Chang Biol. 2013 Jan;19(1):75-89. doi: 10.1111/gcb.12023. Epub 2012 Oct 9.","page":"75-89","publisher-place":"Potsdam Institute for Climate Impact Research, Telegrafenberg, PO Box 601203, Potsdam, 14412, Germany. reyer@pik-potsdam.de","title":"A plant's perspective of extremes: terrestrial plant responses to changing climatic variability","type":"article-journal","volume":"19"},"uris":["http://www.mendeley.com/documents/?uuid=28119266-b270-4ea1-a640-28d148d86ac1"]}],"mendeley":{"formattedCitation":"(&lt;i&gt;30&lt;/i&gt;)","plainTextFormattedCitation":"(30)","previouslyFormattedCitation":"(&lt;i&gt;30&lt;/i&gt;)"},"properties":{"noteIndex":0},"schema":"https://github.com/citation-style-language/schema/raw/master/csl-citation.json"}</w:instrText>
      </w:r>
      <w:r w:rsidRPr="008E0C1D">
        <w:rPr>
          <w:color w:val="000000" w:themeColor="text1"/>
          <w:sz w:val="24"/>
          <w:szCs w:val="24"/>
          <w:lang w:val="en-GB"/>
        </w:rPr>
        <w:fldChar w:fldCharType="separate"/>
      </w:r>
      <w:r w:rsidR="006612EC" w:rsidRPr="008E0C1D">
        <w:rPr>
          <w:noProof/>
          <w:color w:val="000000" w:themeColor="text1"/>
          <w:sz w:val="24"/>
          <w:szCs w:val="24"/>
          <w:lang w:val="en-GB"/>
        </w:rPr>
        <w:t>(</w:t>
      </w:r>
      <w:r w:rsidR="006612EC" w:rsidRPr="008E0C1D">
        <w:rPr>
          <w:i/>
          <w:noProof/>
          <w:color w:val="000000" w:themeColor="text1"/>
          <w:sz w:val="24"/>
          <w:szCs w:val="24"/>
          <w:lang w:val="en-GB"/>
        </w:rPr>
        <w:t>30</w:t>
      </w:r>
      <w:r w:rsidR="006612EC"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habitat fragmentation as well as dispersal limitation may impede or severely delay community responses</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4549C6" w:rsidRPr="008E0C1D">
        <w:rPr>
          <w:color w:val="000000" w:themeColor="text1"/>
          <w:sz w:val="24"/>
          <w:szCs w:val="24"/>
          <w:lang w:val="en-GB"/>
        </w:rPr>
        <w:instrText>ADDIN CSL_CITATION {"citationItems":[{"id":"ITEM-1","itemData":{"DOI":"10.1111/gcb.13976","ISBN":"0000000154871","ISSN":"13652486","PMID":"27935037","abstract":"Rapid climatic changes and increasing human influence at high elevations around the world will have profound impacts on mountain biodiversity. However, forecasts from statistical models (e.g. species distribution models) rarely consider that plant community changes could substantially lag behind climatic changes, hindering our ability to make temporally realistic projections for the coming century. Indeed, the magnitudes of lags, and the relative importance of the different factors giving rise to them, remain poorly understood. We review evidence for three types of lag: “dispersal lags” affecting plant species’ spread along elevational gradients, “establishment lags” following their arrival in recipient communities, and “extinction lags” of resident species. Variation in lags is explained by variation among species in physiological and demographic responses, by effects of altered biotic interactions, and by aspects of the physical environment. Of these, altered biotic interactions could contribute substantially to establishment and extinction lags, yet impacts of biotic interactions on range dynamics are poorly understood. We develop a mechanistic community model to illustrate how species turnover in future communities might lag behind simple expectations based on species’ range shifts with unlimited dispersal. The model shows a combined contribution of altered biotic interactions and dispersal lags to plant community turnover along an elevational gradient following climate warming. Our review and simulation support the view that accounting for disequilibrium range dynamics will be essential for realistic forecasts of patterns of biodiversity under climate change, with implications for the conservation of mountain species and the ecosystem functions they provide.","author":[{"dropping-particle":"","family":"Alexander","given":"Jake M.","non-dropping-particle":"","parse-names":false,"suffix":""},{"dropping-particle":"","family":"Chalmandrier","given":"Loïc","non-dropping-particle":"","parse-names":false,"suffix":""},{"dropping-particle":"","family":"Lenoir","given":"Jonathan","non-dropping-particle":"","parse-names":false,"suffix":""},{"dropping-particle":"","family":"Burgess","given":"Treena I.","non-dropping-particle":"","parse-names":false,"suffix":""},{"dropping-particle":"","family":"Essl","given":"Franz","non-dropping-particle":"","parse-names":false,"suffix":""},{"dropping-particle":"","family":"Haider","given":"Sylvia","non-dropping-particle":"","parse-names":false,"suffix":""},{"dropping-particle":"","family":"Kueffer","given":"Christoph","non-dropping-particle":"","parse-names":false,"suffix":""},{"dropping-particle":"","family":"McDougall","given":"Keith","non-dropping-particle":"","parse-names":false,"suffix":""},{"dropping-particle":"","family":"Milbau","given":"Ann","non-dropping-particle":"","parse-names":false,"suffix":""},{"dropping-particle":"","family":"Nuñez","given":"Martin A.","non-dropping-particle":"","parse-names":false,"suffix":""},{"dropping-particle":"","family":"Pauchard","given":"Aníbal","non-dropping-particle":"","parse-names":false,"suffix":""},{"dropping-particle":"","family":"Rabitsch","given":"Wolfgang","non-dropping-particle":"","parse-names":false,"suffix":""},{"dropping-particle":"","family":"Rew","given":"Lisa J.","non-dropping-particle":"","parse-names":false,"suffix":""},{"dropping-particle":"","family":"Sanders","given":"Nathan J.","non-dropping-particle":"","parse-names":false,"suffix":""},{"dropping-particle":"","family":"Pellissier","given":"Loïc","non-dropping-particle":"","parse-names":false,"suffix":""}],"container-title":"Global Change Biology","id":"ITEM-1","issue":"2","issued":{"date-parts":[["2018"]]},"page":"563-579","title":"Lags in the response of mountain plant communities to climate change","type":"article-journal","volume":"24"},"uris":["http://www.mendeley.com/documents/?uuid=933fcef6-8c32-4af1-b1c3-aa165670a27c"]}],"mendeley":{"formattedCitation":"(&lt;i&gt;11&lt;/i&gt;)","plainTextFormattedCitation":"(11)","previouslyFormattedCitation":"(&lt;i&gt;11&lt;/i&gt;)"},"properties":{"noteIndex":0},"schema":"https://github.com/citation-style-language/schema/raw/master/csl-citation.json"}</w:instrText>
      </w:r>
      <w:r w:rsidRPr="008E0C1D">
        <w:rPr>
          <w:color w:val="000000" w:themeColor="text1"/>
          <w:sz w:val="24"/>
          <w:szCs w:val="24"/>
          <w:lang w:val="en-GB"/>
        </w:rPr>
        <w:fldChar w:fldCharType="separate"/>
      </w:r>
      <w:r w:rsidR="004549C6" w:rsidRPr="008E0C1D">
        <w:rPr>
          <w:noProof/>
          <w:color w:val="000000" w:themeColor="text1"/>
          <w:sz w:val="24"/>
          <w:szCs w:val="24"/>
          <w:lang w:val="en-GB"/>
        </w:rPr>
        <w:t>(</w:t>
      </w:r>
      <w:r w:rsidR="004549C6" w:rsidRPr="008E0C1D">
        <w:rPr>
          <w:i/>
          <w:noProof/>
          <w:color w:val="000000" w:themeColor="text1"/>
          <w:sz w:val="24"/>
          <w:szCs w:val="24"/>
          <w:lang w:val="en-GB"/>
        </w:rPr>
        <w:t>11</w:t>
      </w:r>
      <w:r w:rsidR="004549C6" w:rsidRPr="008E0C1D">
        <w:rPr>
          <w:noProof/>
          <w:color w:val="000000" w:themeColor="text1"/>
          <w:sz w:val="24"/>
          <w:szCs w:val="24"/>
          <w:lang w:val="en-GB"/>
        </w:rPr>
        <w:t>)</w:t>
      </w:r>
      <w:r w:rsidRPr="008E0C1D">
        <w:rPr>
          <w:color w:val="000000" w:themeColor="text1"/>
          <w:sz w:val="24"/>
          <w:szCs w:val="24"/>
          <w:lang w:val="en-GB"/>
        </w:rPr>
        <w:fldChar w:fldCharType="end"/>
      </w:r>
      <w:r w:rsidRPr="008E0C1D">
        <w:rPr>
          <w:rFonts w:eastAsia="Times New Roman"/>
          <w:color w:val="000000" w:themeColor="text1"/>
          <w:sz w:val="24"/>
          <w:szCs w:val="24"/>
        </w:rPr>
        <w:t>. Such effects may outweigh remedial effects of microclimate variability to reduce the pressures of climate change on biological communities, e.g. by providing thermal refuges and facilitating short-distance thermal niche tracking</w:t>
      </w:r>
      <w:r w:rsidR="00C761F3" w:rsidRPr="008E0C1D">
        <w:rPr>
          <w:rFonts w:eastAsia="Times New Roman"/>
          <w:color w:val="000000" w:themeColor="text1"/>
          <w:sz w:val="24"/>
          <w:szCs w:val="24"/>
        </w:rPr>
        <w:t xml:space="preserve"> </w:t>
      </w:r>
      <w:r w:rsidRPr="008E0C1D">
        <w:rPr>
          <w:color w:val="000000" w:themeColor="text1"/>
          <w:sz w:val="24"/>
          <w:szCs w:val="24"/>
          <w:lang w:val="en-GB"/>
        </w:rPr>
        <w:fldChar w:fldCharType="begin" w:fldLock="1"/>
      </w:r>
      <w:r w:rsidR="003636B1" w:rsidRPr="008E0C1D">
        <w:rPr>
          <w:color w:val="000000" w:themeColor="text1"/>
          <w:sz w:val="24"/>
          <w:szCs w:val="24"/>
          <w:lang w:val="en-GB"/>
        </w:rPr>
        <w:instrText>ADDIN CSL_CITATION {"citationItems":[{"id":"ITEM-1","itemData":{"DOI":"10.1038/s41558-018-0231-9","ISSN":"1758-6798","abstract":"Protecting biodiversity against the impacts of climate change requires effective conservation strategies that safeguard species at risk of extinction1. Microrefugia allowed populations to survive adverse climatic conditions in the past2,3, but their potential to reduce extinction risk from anthropogenic warming is poorly understood3–5, hindering our capacity to develop robust in situ measures to adapt conservation to climate change6. Here, we show that microclimatic heterogeneity has strongly buffered species against regional extirpations linked to recent climate change. Using more than five million distribution records for 430 climate-threatened and range-declining species, population losses across England are found to be reduced in areas where topography generated greater variation in the microclimate. The buffering effect of topographic microclimates was strongest for those species adversely affected by warming and in areas that experienced the highest levels of warming: in such conditions, extirpation risk was reduced by 22% for plants and by 9% for insects. Our results indicate the critical role of topographic variation in creating microrefugia, and provide empirical evidence that microclimatic heterogeneity can substantially reduce extinction risk from climate change.","author":[{"dropping-particle":"","family":"Suggitt","given":"Andrew J","non-dropping-particle":"","parse-names":false,"suffix":""},{"dropping-particle":"","family":"Wilson","given":"Robert J","non-dropping-particle":"","parse-names":false,"suffix":""},{"dropping-particle":"","family":"Isaac","given":"Nick J B","non-dropping-particle":"","parse-names":false,"suffix":""},{"dropping-particle":"","family":"Beale","given":"Colin M","non-dropping-particle":"","parse-names":false,"suffix":""},{"dropping-particle":"","family":"Auffret","given":"Alistair G","non-dropping-particle":"","parse-names":false,"suffix":""},{"dropping-particle":"","family":"August","given":"Tom","non-dropping-particle":"","parse-names":false,"suffix":""},{"dropping-particle":"","family":"Bennie","given":"Jonathan J","non-dropping-particle":"","parse-names":false,"suffix":""},{"dropping-particle":"","family":"Crick","given":"Humphrey Q P","non-dropping-particle":"","parse-names":false,"suffix":""},{"dropping-particle":"","family":"Duffield","given":"Simon","non-dropping-particle":"","parse-names":false,"suffix":""},{"dropping-particle":"","family":"Fox","given":"Richard","non-dropping-particle":"","parse-names":false,"suffix":""},{"dropping-particle":"","family":"Hopkins","given":"John J","non-dropping-particle":"","parse-names":false,"suffix":""},{"dropping-particle":"","family":"Macgregor","given":"Nicholas A","non-dropping-particle":"","parse-names":false,"suffix":""},{"dropping-particle":"","family":"Morecroft","given":"Mike D","non-dropping-particle":"","parse-names":false,"suffix":""},{"dropping-particle":"","family":"Walker","given":"Kevin J","non-dropping-particle":"","parse-names":false,"suffix":""},{"dropping-particle":"","family":"Maclean","given":"Ilya M D","non-dropping-particle":"","parse-names":false,"suffix":""}],"container-title":"Nature Climate Change","id":"ITEM-1","issue":"8","issued":{"date-parts":[["2018"]]},"page":"713-717","title":"Extinction risk from climate change is reduced by microclimatic buffering","type":"article-journal","volume":"8"},"uris":["http://www.mendeley.com/documents/?uuid=408bd8ec-dc47-4394-95e4-58deb3613ccf"]},{"id":"ITEM-2","itemData":{"DOI":"10.1111/j.1365-2699.2010.02407.x","ISSN":"1365-2699","author":[{"dropping-particle":"","family":"Scherrer","given":"Daniel","non-dropping-particle":"","parse-names":false,"suffix":""},{"dropping-particle":"","family":"Körner","given":"Christian","non-dropping-particle":"","parse-names":false,"suffix":""}],"container-title":"Journal of Biogeography","id":"ITEM-2","issue":"2","issued":{"date-parts":[["2011"]]},"page":"406-416","title":"Topographically controlled thermal-habitat differentiation buffers alpine plant diversity against climate warming","type":"article-journal","volume":"38"},"uris":["http://www.mendeley.com/documents/?uuid=def1a4be-acc8-4b3b-913f-2b2c7e4530cd"]},{"id":"ITEM-3","itemData":{"DOI":"10.1111/ecog.02788","ISSN":"1600-0587","author":[{"dropping-particle":"","family":"Lenoir","given":"Jonathan","non-dropping-particle":"","parse-names":false,"suffix":""},{"dropping-particle":"","family":"Hattab","given":"Tarek","non-dropping-particle":"","parse-names":false,"suffix":""},{"dropping-particle":"","family":"Pierre","given":"Guillaume","non-dropping-particle":"","parse-names":false,"suffix":""}],"container-title":"Ecography","id":"ITEM-3","issue":"2","issued":{"date-parts":[["2017"]]},"page":"253-266","title":"Climatic microrefugia under anthropogenic climate change: implications for species redistribution","type":"article-journal","volume":"40"},"uris":["http://www.mendeley.com/documents/?uuid=fde89def-6b3f-4cbc-892e-43769c770fb2"]}],"mendeley":{"formattedCitation":"(&lt;i&gt;27&lt;/i&gt;, &lt;i&gt;31&lt;/i&gt;, &lt;i&gt;32&lt;/i&gt;)","plainTextFormattedCitation":"(27, 31, 32)","previouslyFormattedCitation":"(&lt;i&gt;27&lt;/i&gt;, &lt;i&gt;31&lt;/i&gt;, &lt;i&gt;32&lt;/i&gt;)"},"properties":{"noteIndex":0},"schema":"https://github.com/citation-style-language/schema/raw/master/csl-citation.json"}</w:instrText>
      </w:r>
      <w:r w:rsidRPr="008E0C1D">
        <w:rPr>
          <w:color w:val="000000" w:themeColor="text1"/>
          <w:sz w:val="24"/>
          <w:szCs w:val="24"/>
          <w:lang w:val="en-GB"/>
        </w:rPr>
        <w:fldChar w:fldCharType="separate"/>
      </w:r>
      <w:r w:rsidR="006612EC" w:rsidRPr="008E0C1D">
        <w:rPr>
          <w:noProof/>
          <w:color w:val="000000" w:themeColor="text1"/>
          <w:sz w:val="24"/>
          <w:szCs w:val="24"/>
          <w:lang w:val="en-GB"/>
        </w:rPr>
        <w:t>(</w:t>
      </w:r>
      <w:r w:rsidR="006612EC" w:rsidRPr="008E0C1D">
        <w:rPr>
          <w:i/>
          <w:noProof/>
          <w:color w:val="000000" w:themeColor="text1"/>
          <w:sz w:val="24"/>
          <w:szCs w:val="24"/>
          <w:lang w:val="en-GB"/>
        </w:rPr>
        <w:t>27</w:t>
      </w:r>
      <w:r w:rsidR="006612EC" w:rsidRPr="008E0C1D">
        <w:rPr>
          <w:noProof/>
          <w:color w:val="000000" w:themeColor="text1"/>
          <w:sz w:val="24"/>
          <w:szCs w:val="24"/>
          <w:lang w:val="en-GB"/>
        </w:rPr>
        <w:t xml:space="preserve">, </w:t>
      </w:r>
      <w:r w:rsidR="006612EC" w:rsidRPr="008E0C1D">
        <w:rPr>
          <w:i/>
          <w:noProof/>
          <w:color w:val="000000" w:themeColor="text1"/>
          <w:sz w:val="24"/>
          <w:szCs w:val="24"/>
          <w:lang w:val="en-GB"/>
        </w:rPr>
        <w:t>31</w:t>
      </w:r>
      <w:r w:rsidR="006612EC" w:rsidRPr="008E0C1D">
        <w:rPr>
          <w:noProof/>
          <w:color w:val="000000" w:themeColor="text1"/>
          <w:sz w:val="24"/>
          <w:szCs w:val="24"/>
          <w:lang w:val="en-GB"/>
        </w:rPr>
        <w:t xml:space="preserve">, </w:t>
      </w:r>
      <w:r w:rsidR="006612EC" w:rsidRPr="008E0C1D">
        <w:rPr>
          <w:i/>
          <w:noProof/>
          <w:color w:val="000000" w:themeColor="text1"/>
          <w:sz w:val="24"/>
          <w:szCs w:val="24"/>
          <w:lang w:val="en-GB"/>
        </w:rPr>
        <w:t>32</w:t>
      </w:r>
      <w:r w:rsidR="006612EC" w:rsidRPr="008E0C1D">
        <w:rPr>
          <w:noProof/>
          <w:color w:val="000000" w:themeColor="text1"/>
          <w:sz w:val="24"/>
          <w:szCs w:val="24"/>
          <w:lang w:val="en-GB"/>
        </w:rPr>
        <w:t>)</w:t>
      </w:r>
      <w:r w:rsidRPr="008E0C1D">
        <w:rPr>
          <w:color w:val="000000" w:themeColor="text1"/>
          <w:sz w:val="24"/>
          <w:szCs w:val="24"/>
          <w:lang w:val="en-GB"/>
        </w:rPr>
        <w:fldChar w:fldCharType="end"/>
      </w:r>
      <w:r w:rsidRPr="008E0C1D">
        <w:rPr>
          <w:color w:val="000000" w:themeColor="text1"/>
          <w:sz w:val="24"/>
          <w:szCs w:val="24"/>
          <w:lang w:val="en-GB"/>
        </w:rPr>
        <w:t>.</w:t>
      </w:r>
    </w:p>
    <w:p w14:paraId="7BC11C21" w14:textId="14A08435" w:rsidR="00615848" w:rsidRPr="008E0C1D" w:rsidRDefault="00615848" w:rsidP="00610494">
      <w:pPr>
        <w:ind w:firstLine="720"/>
        <w:rPr>
          <w:rFonts w:eastAsia="Times New Roman"/>
          <w:color w:val="000000" w:themeColor="text1"/>
          <w:sz w:val="24"/>
          <w:szCs w:val="24"/>
        </w:rPr>
      </w:pPr>
      <w:r w:rsidRPr="008E0C1D">
        <w:rPr>
          <w:rFonts w:eastAsia="Times New Roman"/>
          <w:color w:val="000000" w:themeColor="text1"/>
          <w:sz w:val="24"/>
          <w:szCs w:val="24"/>
        </w:rPr>
        <w:t>In sum, we provide evidence that forest community responses to climate change are most closely related to microclimate and not to macroclimate change. Despite widespread evidence for thermophilisation trends in plant communities</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004549C6" w:rsidRPr="008E0C1D">
        <w:rPr>
          <w:rFonts w:eastAsia="Times New Roman"/>
          <w:color w:val="000000" w:themeColor="text1"/>
          <w:sz w:val="24"/>
          <w:szCs w:val="24"/>
        </w:rPr>
        <w:instrText>ADDIN CSL_CITATION {"citationItems":[{"id":"ITEM-1","itemData":{"DOI":"10.1038/nclimate1329","ISSN":"1758678X","abstract":"Climate impact studies have indicated ecological fingerprints of recent global warming across a wide range of habitats1, 2. Although these studies have shown responses from various local case studies, a coherent large-scale account on temperature-driven changes of biotic communities has been lacking3, 4.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change5, 6 the observed transformation suggests a progressive decline of cold mountain habitats and their biota.","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Change","id":"ITEM-1","issue":"2","issued":{"date-parts":[["2012"]]},"page":"111-115","title":"Continent-wide response of mountain vegetation to climate change","type":"article-journal","volume":"2"},"uris":["http://www.mendeley.com/documents/?uuid=b9ed35d7-695c-49e5-81db-d164447db4f4"]},{"id":"ITEM-2","itemData":{"DOI":"10.1073/pnas.1311190110","ISSN":"1091-6490 (Electronic) 0027-8424 (Linking)","abstract":"Recent global warming is acting across marine, freshwater, and terrestrial ecosystems to favor species adapted to warmer conditions and/or reduce the abundance of cold-adapted organisms (i.e., \"thermophilization\" of communities). Lack of community responses to increased temperature, however, has also been reported for several taxa and regions, suggesting that \"climatic lags\" may be frequent. Here we show that microclimatic effects brought about by forest canopy closure can buffer biotic responses to macroclimate warming, thus explaining an apparent climatic lag. Using data from 1,409 vegetation plots in European and North American temperate forests, each surveyed at least twice over an interval of 12-67 y, we document significant thermophilization of ground-layer plant communities. These changes reflect concurrent declines in species adapted to cooler conditions and increases in species adapted to warmer conditions. However, thermophilization, particularly the increase of warm-adapted species, is attenuated in forests whose canopies have become denser, probably reflecting cooler growing-season ground temperatures via increased shading. As standing stocks of trees have increased in many temperate forests in recent decades, local microclimatic effects may commonly be moderating the impacts of macroclimate warming on forest understories. Conversely, increases in harvesting woody biomass--e.g., for bioenergy--may open forest canopies and accelerate thermophilization of temperate forest biodiversity.","author":[{"dropping-particle":"","family":"Frenne","given":"P","non-dropping-particle":"De","parse-names":false,"suffix":""},{"dropping-particle":"","family":"Rodriguez-Sanchez","given":"F","non-dropping-particle":"","parse-names":false,"suffix":""},{"dropping-particle":"","family":"Coomes","given":"D A","non-dropping-particle":"","parse-names":false,"suffix":""},{"dropping-particle":"","family":"Baeten","given":"L","non-dropping-particle":"","parse-names":false,"suffix":""},{"dropping-particle":"","family":"Verstraeten","given":"G","non-dropping-particle":"","parse-names":false,"suffix":""},{"dropping-particle":"","family":"Vellend","given":"M","non-dropping-particle":"","parse-names":false,"suffix":""},{"dropping-particle":"","family":"Bernhardt-Romermann","given":"M","non-dropping-particle":"","parse-names":false,"suffix":""},{"dropping-particle":"","family":"Brown","given":"C D","non-dropping-particle":"","parse-names":false,"suffix":""},{"dropping-particle":"","family":"Brunet","given":"J","non-dropping-particle":"","parse-names":false,"suffix":""},{"dropping-particle":"","family":"Cornelis","given":"J","non-dropping-particle":"","parse-names":false,"suffix":""},{"dropping-particle":"","family":"Decocq","given":"G M","non-dropping-particle":"","parse-names":false,"suffix":""},{"dropping-particle":"","family":"Dierschke","given":"H","non-dropping-particle":"","parse-names":false,"suffix":""},{"dropping-particle":"","family":"Eriksson","given":"O","non-dropping-particle":"","parse-names":false,"suffix":""},{"dropping-particle":"","family":"Gilliam","given":"F S","non-dropping-particle":"","parse-names":false,"suffix":""},{"dropping-particle":"","family":"Hedl","given":"R","non-dropping-particle":"","parse-names":false,"suffix":""},{"dropping-particle":"","family":"Heinken","given":"T","non-dropping-particle":"","parse-names":false,"suffix":""},{"dropping-particle":"","family":"Hermy","given":"M","non-dropping-particle":"","parse-names":false,"suffix":""},{"dropping-particle":"","family":"Hommel","given":"P","non-dropping-particle":"","parse-names":false,"suffix":""},{"dropping-particle":"","family":"Jenkins","given":"M A","non-dropping-particle":"","parse-names":false,"suffix":""},{"dropping-particle":"","family":"Kelly","given":"D L","non-dropping-particle":"","parse-names":false,"suffix":""},{"dropping-particle":"","family":"Kirby","given":"K J","non-dropping-particle":"","parse-names":false,"suffix":""},{"dropping-particle":"","family":"Mitchell","given":"F J","non-dropping-particle":"","parse-names":false,"suffix":""},{"dropping-particle":"","family":"Naaf","given":"T","non-dropping-particle":"","parse-names":false,"suffix":""},{"dropping-particle":"","family":"Newman","given":"M","non-dropping-particle":"","parse-names":false,"suffix":""},{"dropping-particle":"","family":"Peterken","given":"G","non-dropping-particle":"","parse-names":false,"suffix":""},{"dropping-particle":"","family":"Petrik","given":"P","non-dropping-particle":"","parse-names":false,"suffix":""},{"dropping-particle":"","family":"Schultz","given":"J","non-dropping-particle":"","parse-names":false,"suffix":""},{"dropping-particle":"","family":"Sonnier","given":"G","non-dropping-particle":"","parse-names":false,"suffix":""},{"dropping-particle":"","family":"Calster","given":"H","non-dropping-particle":"Van","parse-names":false,"suffix":""},{"dropping-particle":"","family":"Waller","given":"D M","non-dropping-particle":"","parse-names":false,"suffix":""},{"dropping-particle":"","family":"Walther","given":"G R","non-dropping-particle":"","parse-names":false,"suffix":""},{"dropping-particle":"","family":"White","given":"P S","non-dropping-particle":"","parse-names":false,"suffix":""},{"dropping-particle":"","family":"Woods","given":"K D","non-dropping-particle":"","parse-names":false,"suffix":""},{"dropping-particle":"","family":"Wulf","given":"M","non-dropping-particle":"","parse-names":false,"suffix":""},{"dropping-particle":"","family":"Graae","given":"B J","non-dropping-particle":"","parse-names":false,"suffix":""},{"dropping-particle":"","family":"Verheyen","given":"K","non-dropping-particle":"","parse-names":false,"suffix":""}],"container-title":"Proceedings of the National Academy of Sciences","id":"ITEM-2","issue":"46","issued":{"date-parts":[["2013"]]},"note":"De Frenne, Pieter\nRodriguez-Sanchez, Francisco\nCoomes, David Anthony\nBaeten, Lander\nVerstraeten, Gorik\nVellend, Mark\nBernhardt-Romermann, Markus\nBrown, Carissa D\nBrunet, Jorg\nCornelis, Johnny\nDecocq, Guillaume M\nDierschke, Hartmut\nEriksson, Ove\nGilliam, Frank S\nHedl, Radim\nHeinken, Thilo\nHermy, Martin\nHommel, Patrick\nJenkins, Michael A\nKelly, Daniel L\nKirby, Keith J\nMitchell, Fraser J G\nNaaf, Tobias\nNewman, Miles\nPeterken, George\nPetrik, Petr\nSchultz, Jan\nSonnier, Gregory\nVan Calster, Hans\nWaller, Donald M\nWalther, Gian-Reto\nWhite, Peter S\nWoods, Kerry D\nWulf, Monika\nGraae, Bente Jessen\nVerheyen, Kris\neng\nResearch Support, Non-U.S. Gov't\n2013/10/30 06:00\nProc Natl Acad Sci U S A. 2013 Nov 12;110(46):18561-5. doi: 10.1073/pnas.1311190110. Epub 2013 Oct 28.","page":"18561-18565","publisher-place":"Forest and Nature Lab, Ghent University, BE-9090 Gontrode-Melle, Belgium.","title":"Microclimate moderates plant responses to macroclimate warming","type":"article-journal","volume":"110"},"uris":["http://www.mendeley.com/documents/?uuid=c5cd6296-0009-481e-a850-31476cea3e9e"]}],"mendeley":{"formattedCitation":"(&lt;i&gt;14&lt;/i&gt;, &lt;i&gt;17&lt;/i&gt;)","plainTextFormattedCitation":"(14, 17)","previouslyFormattedCitation":"(&lt;i&gt;14&lt;/i&gt;, &lt;i&gt;17&lt;/i&gt;)"},"properties":{"noteIndex":0},"schema":"https://github.com/citation-style-language/schema/raw/master/csl-citation.json"}</w:instrText>
      </w:r>
      <w:r w:rsidRPr="008E0C1D">
        <w:rPr>
          <w:rFonts w:eastAsia="Times New Roman"/>
          <w:color w:val="000000" w:themeColor="text1"/>
          <w:sz w:val="24"/>
          <w:szCs w:val="24"/>
        </w:rPr>
        <w:fldChar w:fldCharType="separate"/>
      </w:r>
      <w:r w:rsidR="004549C6" w:rsidRPr="008E0C1D">
        <w:rPr>
          <w:rFonts w:eastAsia="Times New Roman"/>
          <w:noProof/>
          <w:color w:val="000000" w:themeColor="text1"/>
          <w:sz w:val="24"/>
          <w:szCs w:val="24"/>
        </w:rPr>
        <w:t>(</w:t>
      </w:r>
      <w:r w:rsidR="004549C6" w:rsidRPr="008E0C1D">
        <w:rPr>
          <w:rFonts w:eastAsia="Times New Roman"/>
          <w:i/>
          <w:noProof/>
          <w:color w:val="000000" w:themeColor="text1"/>
          <w:sz w:val="24"/>
          <w:szCs w:val="24"/>
        </w:rPr>
        <w:t>14</w:t>
      </w:r>
      <w:r w:rsidR="004549C6" w:rsidRPr="008E0C1D">
        <w:rPr>
          <w:rFonts w:eastAsia="Times New Roman"/>
          <w:noProof/>
          <w:color w:val="000000" w:themeColor="text1"/>
          <w:sz w:val="24"/>
          <w:szCs w:val="24"/>
        </w:rPr>
        <w:t xml:space="preserve">, </w:t>
      </w:r>
      <w:r w:rsidR="004549C6" w:rsidRPr="008E0C1D">
        <w:rPr>
          <w:rFonts w:eastAsia="Times New Roman"/>
          <w:i/>
          <w:noProof/>
          <w:color w:val="000000" w:themeColor="text1"/>
          <w:sz w:val="24"/>
          <w:szCs w:val="24"/>
        </w:rPr>
        <w:t>17</w:t>
      </w:r>
      <w:r w:rsidR="004549C6"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Pr="008E0C1D">
        <w:rPr>
          <w:rFonts w:eastAsia="Times New Roman"/>
          <w:color w:val="000000" w:themeColor="text1"/>
          <w:sz w:val="24"/>
          <w:szCs w:val="24"/>
        </w:rPr>
        <w:t>, many community responses are strongly lagging behind warming, thereby accumulating a climatic debt</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004549C6" w:rsidRPr="008E0C1D">
        <w:rPr>
          <w:rFonts w:eastAsia="Times New Roman"/>
          <w:color w:val="000000" w:themeColor="text1"/>
          <w:sz w:val="24"/>
          <w:szCs w:val="24"/>
        </w:rPr>
        <w:instrText>ADDIN CSL_CITATION {"citationItems":[{"id":"ITEM-1","itemData":{"DOI":"10.1038/nature10548","ISSN":"1476-4687 (Electronic) 0028-0836 (Linking)","abstract":"Climate change is driving latitudinal and altitudinal shifts in species distribution worldwide, leading to novel species assemblages. Lags between these biotic responses and contemporary climate changes have been reported for plants and animals. Theoretically, the magnitude of these lags should be greatest in lowland areas, where the velocity of climate change is expected to be much greater than that in highland areas. We compared temperature trends to temperatures reconstructed from plant assemblages (observed in 76,634 surveys) over a 44-year period in France (1965-2008). Here we report that forest plant communities had responded to 0.54 degrees C of the effective increase of 1.07 degrees C in highland areas (500-2,600 m above sea level), while they had responded to only 0.02 degrees C of the 1.11 degrees C warming trend in lowland areas. There was a larger temperature lag (by 3.1 times) between the climate and plant community composition in lowland forests than in highland forests. The explanation of such disparity lies in the following properties of lowland, as compared to highland, forests: the higher proportion of species with greater ability for local persistence as the climate warms, the reduced opportunity for short-distance escapes, and the greater habitat fragmentation. Although mountains are currently considered to be among the ecosystems most threatened by climate change (owing to mountaintop extinction), the current inertia of plant communities in lowland forests should also be noted, as it could lead to lowland biotic attrition.","author":[{"dropping-particle":"","family":"Bertrand","given":"R","non-dropping-particle":"","parse-names":false,"suffix":""},{"dropping-particle":"","family":"Lenoir","given":"J","non-dropping-particle":"","parse-names":false,"suffix":""},{"dropping-particle":"","family":"Piedallu","given":"C","non-dropping-particle":"","parse-names":false,"suffix":""},{"dropping-particle":"","family":"Riofrio-Dillon","given":"G","non-dropping-particle":"","parse-names":false,"suffix":""},{"dropping-particle":"","family":"Ruffray","given":"P","non-dropping-particle":"de","parse-names":false,"suffix":""},{"dropping-particle":"","family":"Vidal","given":"C","non-dropping-particle":"","parse-names":false,"suffix":""},{"dropping-particle":"","family":"Pierrat","given":"J C","non-dropping-particle":"","parse-names":false,"suffix":""},{"dropping-particle":"","family":"Gegout","given":"J C","non-dropping-particle":"","parse-names":false,"suffix":""}],"container-title":"Nature","id":"ITEM-1","issue":"7374","issued":{"date-parts":[["2011"]]},"note":"Bertrand, Romain\nLenoir, Jonathan\nPiedallu, Christian\nRiofrio-Dillon, Gabriela\nde Ruffray, Patrice\nVidal, Claude\nPierrat, Jean-Claude\nGegout, Jean-Claude\neng\nHistorical Article\nResearch Support, Non-U.S. Gov't\nEngland\n2011/10/21 06:00\nNature. 2011 Oct 19;479(7374):517-20. doi: 10.1038/nature10548.","page":"517-520","publisher-place":"AgroParisTech, ENGREF, UMR1092 Laboratoire d'Etude des Ressources Foret-Bois (LERFoB), 14 rue Girardet, F-54000 Nancy, France. romain.bertrand@engref.agroparistech.fr","title":"Changes in plant community composition lag behind climate warming in lowland forests","type":"article-journal","volume":"479"},"uris":["http://www.mendeley.com/documents/?uuid=a87d5a07-e5d6-459a-849d-d613b3624dde"]}],"mendeley":{"formattedCitation":"(&lt;i&gt;10&lt;/i&gt;)","plainTextFormattedCitation":"(10)","previouslyFormattedCitation":"(&lt;i&gt;10&lt;/i&gt;)"},"properties":{"noteIndex":0},"schema":"https://github.com/citation-style-language/schema/raw/master/csl-citation.json"}</w:instrText>
      </w:r>
      <w:r w:rsidRPr="008E0C1D">
        <w:rPr>
          <w:rFonts w:eastAsia="Times New Roman"/>
          <w:color w:val="000000" w:themeColor="text1"/>
          <w:sz w:val="24"/>
          <w:szCs w:val="24"/>
        </w:rPr>
        <w:fldChar w:fldCharType="separate"/>
      </w:r>
      <w:r w:rsidR="004549C6" w:rsidRPr="008E0C1D">
        <w:rPr>
          <w:rFonts w:eastAsia="Times New Roman"/>
          <w:noProof/>
          <w:color w:val="000000" w:themeColor="text1"/>
          <w:sz w:val="24"/>
          <w:szCs w:val="24"/>
        </w:rPr>
        <w:t>(</w:t>
      </w:r>
      <w:r w:rsidR="004549C6" w:rsidRPr="008E0C1D">
        <w:rPr>
          <w:rFonts w:eastAsia="Times New Roman"/>
          <w:i/>
          <w:noProof/>
          <w:color w:val="000000" w:themeColor="text1"/>
          <w:sz w:val="24"/>
          <w:szCs w:val="24"/>
        </w:rPr>
        <w:t>10</w:t>
      </w:r>
      <w:r w:rsidR="004549C6"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Pr="008E0C1D">
        <w:rPr>
          <w:rFonts w:eastAsia="Times New Roman"/>
          <w:color w:val="000000" w:themeColor="text1"/>
          <w:sz w:val="24"/>
          <w:szCs w:val="24"/>
        </w:rPr>
        <w:t>.</w:t>
      </w:r>
      <w:r w:rsidR="00A64731" w:rsidRPr="008E0C1D">
        <w:rPr>
          <w:rFonts w:eastAsia="Times New Roman"/>
          <w:color w:val="000000" w:themeColor="text1"/>
          <w:sz w:val="24"/>
          <w:szCs w:val="24"/>
        </w:rPr>
        <w:t xml:space="preserve"> Growing pressures from woody biomass extraction and the increasing vulnerability of forests to climate change will </w:t>
      </w:r>
      <w:r w:rsidRPr="008E0C1D">
        <w:rPr>
          <w:rFonts w:eastAsia="Times New Roman"/>
          <w:color w:val="000000" w:themeColor="text1"/>
          <w:sz w:val="24"/>
          <w:szCs w:val="24"/>
        </w:rPr>
        <w:t xml:space="preserve">lead to frequent canopy cover </w:t>
      </w:r>
      <w:r w:rsidR="00883B0C" w:rsidRPr="008E0C1D">
        <w:rPr>
          <w:rFonts w:eastAsia="Times New Roman"/>
          <w:color w:val="000000" w:themeColor="text1"/>
          <w:sz w:val="24"/>
          <w:szCs w:val="24"/>
        </w:rPr>
        <w:t>disturbance</w:t>
      </w:r>
      <w:r w:rsidR="000B4BC9" w:rsidRPr="008E0C1D">
        <w:rPr>
          <w:rFonts w:eastAsia="Times New Roman"/>
          <w:color w:val="000000" w:themeColor="text1"/>
          <w:sz w:val="24"/>
          <w:szCs w:val="24"/>
        </w:rPr>
        <w:t xml:space="preserve"> and tree dieback</w:t>
      </w:r>
      <w:r w:rsidR="00A64731" w:rsidRPr="008E0C1D">
        <w:rPr>
          <w:rFonts w:eastAsia="Times New Roman"/>
          <w:color w:val="000000" w:themeColor="text1"/>
          <w:sz w:val="24"/>
          <w:szCs w:val="24"/>
        </w:rPr>
        <w:t xml:space="preserve"> </w:t>
      </w:r>
      <w:r w:rsidR="00A64731" w:rsidRPr="008E0C1D">
        <w:rPr>
          <w:rFonts w:eastAsia="Times New Roman"/>
          <w:color w:val="000000" w:themeColor="text1"/>
          <w:sz w:val="24"/>
          <w:szCs w:val="24"/>
        </w:rPr>
        <w:fldChar w:fldCharType="begin" w:fldLock="1"/>
      </w:r>
      <w:r w:rsidR="00A231E5" w:rsidRPr="008E0C1D">
        <w:rPr>
          <w:rFonts w:eastAsia="Times New Roman"/>
          <w:color w:val="000000" w:themeColor="text1"/>
          <w:sz w:val="24"/>
          <w:szCs w:val="24"/>
        </w:rPr>
        <w:instrText>ADDIN CSL_CITATION {"citationItems":[{"id":"ITEM-1","itemData":{"DOI":"10.1016/j.foreco.2009.09.023","ISSN":"03781127","abstract":"This study compiles and summarizes the existing knowledge about observed and projected impacts of climate change on forests in Europe. Forests will have to adapt not only to changes in mean climate variables but also to increased variability with greater risk of extreme weather events, such as prolonged drought, storms and floods. Sensitivity, potential impacts, adaptive capacity, and vulnerability to climate change are reviewed for European forests. The most important potential impacts of climate change on forest goods and services are summarized for the Boreal, Temperate Oceanic, Temperate Continental, Mediterranean, and mountainous regions. Especially in northern and western Europe the increasing atmospheric CO2 content and warmer temperatures are expected to result in positive effects on forest growth and wood production, at least in the short-medium term. On the other hand, increasing drought and disturbance risks will cause adverse effects. These negative impacts are very likely to outweigh positive trends in southern and eastern Europe. From west to east, the drought risk increases. In the Mediterranean regions productivity is expected to decline due to strongly increased droughts and fire risks. Adaptive capacity consists of the inherent adaptive capacity of trees and forest ecosystems and of socio-economic factors determining the capability to implement planned adaptation. The adaptive capacity in the forest sector is relatively large in the Boreal and the Temperate Oceanic regions, more constrained by socio-economic factors in the Temperate Continental, and most limited in the Mediterranean region where large forest areas are only extensively managed or unmanaged. Potential impacts and risks are best studied and understood with respect to wood production. It is clear that all other goods and services provided by European forests will also be impacted by climate change, but much less knowledge is available to quantify these impacts. Understanding of adaptive capacity and regional vulnerability to climate change in European forests is not well developed and requires more focussed research efforts. An interdisciplinary research agenda integrated with monitoring networks and projection models is needed to provide information at all levels of decision making, from policy development to the management unit. © 2009 Elsevier B.V. All rights reserved.","author":[{"dropping-particle":"","family":"Lindner","given":"Marcus","non-dropping-particle":"","parse-names":false,"suffix":""},{"dropping-particle":"","family":"Maroschek","given":"Michael","non-dropping-particle":"","parse-names":false,"suffix":""},{"dropping-particle":"","family":"Netherer","given":"Sigrid","non-dropping-particle":"","parse-names":false,"suffix":""},{"dropping-particle":"","family":"Kremer","given":"Antoine","non-dropping-particle":"","parse-names":false,"suffix":""},{"dropping-particle":"","family":"Barbati","given":"Anna","non-dropping-particle":"","parse-names":false,"suffix":""},{"dropping-particle":"","family":"Garcia-Gonzalo","given":"Jordi","non-dropping-particle":"","parse-names":false,"suffix":""},{"dropping-particle":"","family":"Seidl","given":"Rupert","non-dropping-particle":"","parse-names":false,"suffix":""},{"dropping-particle":"","family":"Delzon","given":"Sylvain","non-dropping-particle":"","parse-names":false,"suffix":""},{"dropping-particle":"","family":"Corona","given":"Piermaria","non-dropping-particle":"","parse-names":false,"suffix":""},{"dropping-particle":"","family":"Kolström","given":"Marja","non-dropping-particle":"","parse-names":false,"suffix":""},{"dropping-particle":"","family":"Lexer","given":"Manfred J.","non-dropping-particle":"","parse-names":false,"suffix":""},{"dropping-particle":"","family":"Marchetti","given":"Marco","non-dropping-particle":"","parse-names":false,"suffix":""}],"container-title":"Forest Ecology and Management","id":"ITEM-1","issue":"4","issued":{"date-parts":[["2010"]]},"page":"698-709","title":"Climate change impacts, adaptive capacity, and vulnerability of European forest ecosystems","type":"article-journal","volume":"259"},"uris":["http://www.mendeley.com/documents/?uuid=8d85ecf4-394b-4e32-aff0-657b47d749c6"]}],"mendeley":{"formattedCitation":"(&lt;i&gt;33&lt;/i&gt;)","plainTextFormattedCitation":"(33)","previouslyFormattedCitation":"(&lt;i&gt;33&lt;/i&gt;)"},"properties":{"noteIndex":0},"schema":"https://github.com/citation-style-language/schema/raw/master/csl-citation.json"}</w:instrText>
      </w:r>
      <w:r w:rsidR="00A64731" w:rsidRPr="008E0C1D">
        <w:rPr>
          <w:rFonts w:eastAsia="Times New Roman"/>
          <w:color w:val="000000" w:themeColor="text1"/>
          <w:sz w:val="24"/>
          <w:szCs w:val="24"/>
        </w:rPr>
        <w:fldChar w:fldCharType="separate"/>
      </w:r>
      <w:r w:rsidR="006612EC" w:rsidRPr="008E0C1D">
        <w:rPr>
          <w:rFonts w:eastAsia="Times New Roman"/>
          <w:noProof/>
          <w:color w:val="000000" w:themeColor="text1"/>
          <w:sz w:val="24"/>
          <w:szCs w:val="24"/>
        </w:rPr>
        <w:t>(</w:t>
      </w:r>
      <w:r w:rsidR="006612EC" w:rsidRPr="008E0C1D">
        <w:rPr>
          <w:rFonts w:eastAsia="Times New Roman"/>
          <w:i/>
          <w:noProof/>
          <w:color w:val="000000" w:themeColor="text1"/>
          <w:sz w:val="24"/>
          <w:szCs w:val="24"/>
        </w:rPr>
        <w:t>33</w:t>
      </w:r>
      <w:r w:rsidR="006612EC" w:rsidRPr="008E0C1D">
        <w:rPr>
          <w:rFonts w:eastAsia="Times New Roman"/>
          <w:noProof/>
          <w:color w:val="000000" w:themeColor="text1"/>
          <w:sz w:val="24"/>
          <w:szCs w:val="24"/>
        </w:rPr>
        <w:t>)</w:t>
      </w:r>
      <w:r w:rsidR="00A64731" w:rsidRPr="008E0C1D">
        <w:rPr>
          <w:rFonts w:eastAsia="Times New Roman"/>
          <w:color w:val="000000" w:themeColor="text1"/>
          <w:sz w:val="24"/>
          <w:szCs w:val="24"/>
        </w:rPr>
        <w:fldChar w:fldCharType="end"/>
      </w:r>
      <w:r w:rsidR="005E2AEA" w:rsidRPr="008E0C1D">
        <w:rPr>
          <w:rFonts w:eastAsia="Times New Roman"/>
          <w:color w:val="000000" w:themeColor="text1"/>
          <w:sz w:val="24"/>
          <w:szCs w:val="24"/>
        </w:rPr>
        <w:t xml:space="preserve">, which will </w:t>
      </w:r>
      <w:r w:rsidRPr="008E0C1D">
        <w:rPr>
          <w:rFonts w:eastAsia="Times New Roman"/>
          <w:color w:val="000000" w:themeColor="text1"/>
          <w:sz w:val="24"/>
          <w:szCs w:val="24"/>
        </w:rPr>
        <w:t>severely intensif</w:t>
      </w:r>
      <w:r w:rsidR="005E2AEA" w:rsidRPr="008E0C1D">
        <w:rPr>
          <w:rFonts w:eastAsia="Times New Roman"/>
          <w:color w:val="000000" w:themeColor="text1"/>
          <w:sz w:val="24"/>
          <w:szCs w:val="24"/>
        </w:rPr>
        <w:t>y</w:t>
      </w:r>
      <w:r w:rsidRPr="008E0C1D">
        <w:rPr>
          <w:rFonts w:eastAsia="Times New Roman"/>
          <w:color w:val="000000" w:themeColor="text1"/>
          <w:sz w:val="24"/>
          <w:szCs w:val="24"/>
        </w:rPr>
        <w:t xml:space="preserve"> the emergence of adverse thermal habitat conditions for many species, impeding the ability of communities to keep track with anthropogenic environmental changes. Our findings also show that climate-change impacts on forest plant communities have been </w:t>
      </w:r>
      <w:r w:rsidR="000E6DFE" w:rsidRPr="008E0C1D">
        <w:rPr>
          <w:rFonts w:eastAsia="Times New Roman"/>
          <w:color w:val="000000" w:themeColor="text1"/>
          <w:sz w:val="24"/>
          <w:szCs w:val="24"/>
        </w:rPr>
        <w:t>reduced</w:t>
      </w:r>
      <w:r w:rsidRPr="008E0C1D">
        <w:rPr>
          <w:rFonts w:eastAsia="Times New Roman"/>
          <w:color w:val="000000" w:themeColor="text1"/>
          <w:sz w:val="24"/>
          <w:szCs w:val="24"/>
        </w:rPr>
        <w:t xml:space="preserve"> by higher standing stocks and associated cooling following increases in thermal buffering</w:t>
      </w:r>
      <w:r w:rsidR="00C761F3" w:rsidRPr="008E0C1D">
        <w:rPr>
          <w:rFonts w:eastAsia="Times New Roman"/>
          <w:color w:val="000000" w:themeColor="text1"/>
          <w:sz w:val="24"/>
          <w:szCs w:val="24"/>
        </w:rPr>
        <w:t xml:space="preserve"> </w:t>
      </w:r>
      <w:r w:rsidRPr="008E0C1D">
        <w:rPr>
          <w:rFonts w:eastAsia="Times New Roman"/>
          <w:color w:val="000000" w:themeColor="text1"/>
          <w:sz w:val="24"/>
          <w:szCs w:val="24"/>
        </w:rPr>
        <w:fldChar w:fldCharType="begin" w:fldLock="1"/>
      </w:r>
      <w:r w:rsidR="00A231E5" w:rsidRPr="008E0C1D">
        <w:rPr>
          <w:rFonts w:eastAsia="Times New Roman"/>
          <w:color w:val="000000" w:themeColor="text1"/>
          <w:sz w:val="24"/>
          <w:szCs w:val="24"/>
        </w:rPr>
        <w:instrText>ADDIN CSL_CITATION {"citationItems":[{"id":"ITEM-1","itemData":{"DOI":"10.1016/j.forpol.2004.07.002","ISSN":"13899341","author":[{"dropping-particle":"","family":"Gold","given":"Stefan","non-dropping-particle":"","parse-names":false,"suffix":""},{"dropping-particle":"","family":"Korotkov","given":"Alexander","non-dropping-particle":"","parse-names":false,"suffix":""},{"dropping-particle":"","family":"Sasse","given":"Volker","non-dropping-particle":"","parse-names":false,"suffix":""}],"container-title":"Forest Policy and Economics","id":"ITEM-1","issue":"2","issued":{"date-parts":[["2006"]]},"page":"183-192","title":"The development of European forest resources, 1950 to 2000","type":"article-journal","volume":"8"},"uris":["http://www.mendeley.com/documents/?uuid=6b157d50-65dd-4379-8211-7f8eadf60029"]}],"mendeley":{"formattedCitation":"(&lt;i&gt;34&lt;/i&gt;)","plainTextFormattedCitation":"(34)","previouslyFormattedCitation":"(&lt;i&gt;34&lt;/i&gt;)"},"properties":{"noteIndex":0},"schema":"https://github.com/citation-style-language/schema/raw/master/csl-citation.json"}</w:instrText>
      </w:r>
      <w:r w:rsidRPr="008E0C1D">
        <w:rPr>
          <w:rFonts w:eastAsia="Times New Roman"/>
          <w:color w:val="000000" w:themeColor="text1"/>
          <w:sz w:val="24"/>
          <w:szCs w:val="24"/>
        </w:rPr>
        <w:fldChar w:fldCharType="separate"/>
      </w:r>
      <w:r w:rsidR="006612EC" w:rsidRPr="008E0C1D">
        <w:rPr>
          <w:rFonts w:eastAsia="Times New Roman"/>
          <w:noProof/>
          <w:color w:val="000000" w:themeColor="text1"/>
          <w:sz w:val="24"/>
          <w:szCs w:val="24"/>
        </w:rPr>
        <w:t>(</w:t>
      </w:r>
      <w:r w:rsidR="006612EC" w:rsidRPr="008E0C1D">
        <w:rPr>
          <w:rFonts w:eastAsia="Times New Roman"/>
          <w:i/>
          <w:noProof/>
          <w:color w:val="000000" w:themeColor="text1"/>
          <w:sz w:val="24"/>
          <w:szCs w:val="24"/>
        </w:rPr>
        <w:t>34</w:t>
      </w:r>
      <w:r w:rsidR="006612EC" w:rsidRPr="008E0C1D">
        <w:rPr>
          <w:rFonts w:eastAsia="Times New Roman"/>
          <w:noProof/>
          <w:color w:val="000000" w:themeColor="text1"/>
          <w:sz w:val="24"/>
          <w:szCs w:val="24"/>
        </w:rPr>
        <w:t>)</w:t>
      </w:r>
      <w:r w:rsidRPr="008E0C1D">
        <w:rPr>
          <w:rFonts w:eastAsia="Times New Roman"/>
          <w:color w:val="000000" w:themeColor="text1"/>
          <w:sz w:val="24"/>
          <w:szCs w:val="24"/>
        </w:rPr>
        <w:fldChar w:fldCharType="end"/>
      </w:r>
      <w:r w:rsidR="00A231E5" w:rsidRPr="008E0C1D">
        <w:rPr>
          <w:rFonts w:eastAsia="Times New Roman"/>
          <w:color w:val="000000" w:themeColor="text1"/>
          <w:sz w:val="24"/>
          <w:szCs w:val="24"/>
        </w:rPr>
        <w:t xml:space="preserve">. </w:t>
      </w:r>
      <w:r w:rsidRPr="008E0C1D">
        <w:rPr>
          <w:rFonts w:eastAsia="Times New Roman"/>
          <w:color w:val="000000" w:themeColor="text1"/>
          <w:sz w:val="24"/>
          <w:szCs w:val="24"/>
        </w:rPr>
        <w:t>Accounting for microclimate in global-change impact assessments on forest biodiversity and functioning is crucial if we are to better understand and counteract the increasing pressures imposed on forests.</w:t>
      </w:r>
    </w:p>
    <w:p w14:paraId="5147DC74" w14:textId="77777777" w:rsidR="00D73714" w:rsidRPr="008E0C1D" w:rsidRDefault="00D73714" w:rsidP="00D73714">
      <w:pPr>
        <w:pStyle w:val="Refhead"/>
        <w:rPr>
          <w:rFonts w:ascii="Times" w:hAnsi="Times"/>
          <w:color w:val="000000" w:themeColor="text1"/>
        </w:rPr>
      </w:pPr>
      <w:r w:rsidRPr="008E0C1D">
        <w:rPr>
          <w:rFonts w:ascii="Times" w:hAnsi="Times"/>
          <w:color w:val="000000" w:themeColor="text1"/>
        </w:rPr>
        <w:t>References and Notes:</w:t>
      </w:r>
    </w:p>
    <w:p w14:paraId="24A145D0"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 </w:t>
      </w:r>
      <w:r w:rsidRPr="008E0C1D">
        <w:rPr>
          <w:noProof/>
          <w:color w:val="000000" w:themeColor="text1"/>
          <w:sz w:val="24"/>
          <w:szCs w:val="24"/>
        </w:rPr>
        <w:tab/>
        <w:t xml:space="preserve">G. T. Pecl </w:t>
      </w:r>
      <w:r w:rsidRPr="008E0C1D">
        <w:rPr>
          <w:i/>
          <w:noProof/>
          <w:color w:val="000000" w:themeColor="text1"/>
          <w:sz w:val="24"/>
          <w:szCs w:val="24"/>
        </w:rPr>
        <w:t>et al</w:t>
      </w:r>
      <w:r w:rsidRPr="008E0C1D">
        <w:rPr>
          <w:noProof/>
          <w:color w:val="000000" w:themeColor="text1"/>
          <w:sz w:val="24"/>
          <w:szCs w:val="24"/>
        </w:rPr>
        <w:t xml:space="preserve">., Biodiversity redistribution under climate change: Impacts on ecosystems and human well-being. </w:t>
      </w:r>
      <w:r w:rsidRPr="008E0C1D">
        <w:rPr>
          <w:i/>
          <w:iCs/>
          <w:noProof/>
          <w:color w:val="000000" w:themeColor="text1"/>
          <w:sz w:val="24"/>
          <w:szCs w:val="24"/>
        </w:rPr>
        <w:t>Science.</w:t>
      </w:r>
      <w:r w:rsidRPr="008E0C1D">
        <w:rPr>
          <w:noProof/>
          <w:color w:val="000000" w:themeColor="text1"/>
          <w:sz w:val="24"/>
          <w:szCs w:val="24"/>
        </w:rPr>
        <w:t xml:space="preserve"> </w:t>
      </w:r>
      <w:r w:rsidRPr="008E0C1D">
        <w:rPr>
          <w:b/>
          <w:bCs/>
          <w:noProof/>
          <w:color w:val="000000" w:themeColor="text1"/>
          <w:sz w:val="24"/>
          <w:szCs w:val="24"/>
        </w:rPr>
        <w:t>355</w:t>
      </w:r>
      <w:r w:rsidRPr="008E0C1D">
        <w:rPr>
          <w:noProof/>
          <w:color w:val="000000" w:themeColor="text1"/>
          <w:sz w:val="24"/>
          <w:szCs w:val="24"/>
        </w:rPr>
        <w:t xml:space="preserve"> (2017).</w:t>
      </w:r>
    </w:p>
    <w:p w14:paraId="59FFF5E2"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 </w:t>
      </w:r>
      <w:r w:rsidRPr="008E0C1D">
        <w:rPr>
          <w:noProof/>
          <w:color w:val="000000" w:themeColor="text1"/>
          <w:sz w:val="24"/>
          <w:szCs w:val="24"/>
        </w:rPr>
        <w:tab/>
        <w:t xml:space="preserve">B. R. Scheffers </w:t>
      </w:r>
      <w:r w:rsidRPr="008E0C1D">
        <w:rPr>
          <w:i/>
          <w:noProof/>
          <w:color w:val="000000" w:themeColor="text1"/>
          <w:sz w:val="24"/>
          <w:szCs w:val="24"/>
        </w:rPr>
        <w:t>et al</w:t>
      </w:r>
      <w:r w:rsidRPr="008E0C1D">
        <w:rPr>
          <w:noProof/>
          <w:color w:val="000000" w:themeColor="text1"/>
          <w:sz w:val="24"/>
          <w:szCs w:val="24"/>
        </w:rPr>
        <w:t xml:space="preserve">., The broad footprint of climate change from genes to biomes to people. </w:t>
      </w:r>
      <w:r w:rsidRPr="008E0C1D">
        <w:rPr>
          <w:i/>
          <w:iCs/>
          <w:noProof/>
          <w:color w:val="000000" w:themeColor="text1"/>
          <w:sz w:val="24"/>
          <w:szCs w:val="24"/>
        </w:rPr>
        <w:t>Science.</w:t>
      </w:r>
      <w:r w:rsidRPr="008E0C1D">
        <w:rPr>
          <w:noProof/>
          <w:color w:val="000000" w:themeColor="text1"/>
          <w:sz w:val="24"/>
          <w:szCs w:val="24"/>
        </w:rPr>
        <w:t xml:space="preserve"> </w:t>
      </w:r>
      <w:r w:rsidRPr="008E0C1D">
        <w:rPr>
          <w:b/>
          <w:bCs/>
          <w:noProof/>
          <w:color w:val="000000" w:themeColor="text1"/>
          <w:sz w:val="24"/>
          <w:szCs w:val="24"/>
        </w:rPr>
        <w:t>354</w:t>
      </w:r>
      <w:r w:rsidRPr="008E0C1D">
        <w:rPr>
          <w:noProof/>
          <w:color w:val="000000" w:themeColor="text1"/>
          <w:sz w:val="24"/>
          <w:szCs w:val="24"/>
        </w:rPr>
        <w:t xml:space="preserve"> (2016).</w:t>
      </w:r>
    </w:p>
    <w:p w14:paraId="4B88B738"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 </w:t>
      </w:r>
      <w:r w:rsidRPr="008E0C1D">
        <w:rPr>
          <w:noProof/>
          <w:color w:val="000000" w:themeColor="text1"/>
          <w:sz w:val="24"/>
          <w:szCs w:val="24"/>
        </w:rPr>
        <w:tab/>
        <w:t xml:space="preserve">C. Parmesan, Ecological and evolutionary responses to recent climate change. </w:t>
      </w:r>
      <w:r w:rsidRPr="008E0C1D">
        <w:rPr>
          <w:i/>
          <w:iCs/>
          <w:noProof/>
          <w:color w:val="000000" w:themeColor="text1"/>
          <w:sz w:val="24"/>
          <w:szCs w:val="24"/>
        </w:rPr>
        <w:t>Annu. Rev. Ecol. Evol. Syst.</w:t>
      </w:r>
      <w:r w:rsidRPr="008E0C1D">
        <w:rPr>
          <w:noProof/>
          <w:color w:val="000000" w:themeColor="text1"/>
          <w:sz w:val="24"/>
          <w:szCs w:val="24"/>
        </w:rPr>
        <w:t xml:space="preserve"> </w:t>
      </w:r>
      <w:r w:rsidRPr="008E0C1D">
        <w:rPr>
          <w:b/>
          <w:bCs/>
          <w:noProof/>
          <w:color w:val="000000" w:themeColor="text1"/>
          <w:sz w:val="24"/>
          <w:szCs w:val="24"/>
        </w:rPr>
        <w:t>37</w:t>
      </w:r>
      <w:r w:rsidRPr="008E0C1D">
        <w:rPr>
          <w:noProof/>
          <w:color w:val="000000" w:themeColor="text1"/>
          <w:sz w:val="24"/>
          <w:szCs w:val="24"/>
        </w:rPr>
        <w:t>, 637–669 (2006).</w:t>
      </w:r>
    </w:p>
    <w:p w14:paraId="56E9AA32"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 </w:t>
      </w:r>
      <w:r w:rsidRPr="008E0C1D">
        <w:rPr>
          <w:noProof/>
          <w:color w:val="000000" w:themeColor="text1"/>
          <w:sz w:val="24"/>
          <w:szCs w:val="24"/>
        </w:rPr>
        <w:tab/>
        <w:t xml:space="preserve">IPCC, </w:t>
      </w:r>
      <w:r w:rsidRPr="008E0C1D">
        <w:rPr>
          <w:i/>
          <w:iCs/>
          <w:noProof/>
          <w:color w:val="000000" w:themeColor="text1"/>
          <w:sz w:val="24"/>
          <w:szCs w:val="24"/>
        </w:rPr>
        <w:t>Climate Change 2014: Impacts, Adaptation, and Vulnerability</w:t>
      </w:r>
      <w:r w:rsidRPr="008E0C1D">
        <w:rPr>
          <w:noProof/>
          <w:color w:val="000000" w:themeColor="text1"/>
          <w:sz w:val="24"/>
          <w:szCs w:val="24"/>
        </w:rPr>
        <w:t xml:space="preserve"> (Cambridge University Press, Cambridge, UK, 2014).</w:t>
      </w:r>
    </w:p>
    <w:p w14:paraId="5D332B9C"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 </w:t>
      </w:r>
      <w:r w:rsidRPr="008E0C1D">
        <w:rPr>
          <w:noProof/>
          <w:color w:val="000000" w:themeColor="text1"/>
          <w:sz w:val="24"/>
          <w:szCs w:val="24"/>
        </w:rPr>
        <w:tab/>
        <w:t>World Meteorological Organization WMO, Guide to Meteorological Instruments and Methods of Observation (2008).</w:t>
      </w:r>
    </w:p>
    <w:p w14:paraId="0F1CEBA6"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lastRenderedPageBreak/>
        <w:t xml:space="preserve">6. </w:t>
      </w:r>
      <w:r w:rsidRPr="008E0C1D">
        <w:rPr>
          <w:noProof/>
          <w:color w:val="000000" w:themeColor="text1"/>
          <w:sz w:val="24"/>
          <w:szCs w:val="24"/>
        </w:rPr>
        <w:tab/>
        <w:t xml:space="preserve">C. Moritz, R. Agudo, The future of species under climate change: resilience or decline? </w:t>
      </w:r>
      <w:r w:rsidRPr="008E0C1D">
        <w:rPr>
          <w:i/>
          <w:iCs/>
          <w:noProof/>
          <w:color w:val="000000" w:themeColor="text1"/>
          <w:sz w:val="24"/>
          <w:szCs w:val="24"/>
        </w:rPr>
        <w:t>Science</w:t>
      </w:r>
      <w:r w:rsidRPr="008E0C1D">
        <w:rPr>
          <w:noProof/>
          <w:color w:val="000000" w:themeColor="text1"/>
          <w:sz w:val="24"/>
          <w:szCs w:val="24"/>
        </w:rPr>
        <w:t xml:space="preserve">. </w:t>
      </w:r>
      <w:r w:rsidRPr="008E0C1D">
        <w:rPr>
          <w:b/>
          <w:bCs/>
          <w:noProof/>
          <w:color w:val="000000" w:themeColor="text1"/>
          <w:sz w:val="24"/>
          <w:szCs w:val="24"/>
        </w:rPr>
        <w:t>341</w:t>
      </w:r>
      <w:r w:rsidRPr="008E0C1D">
        <w:rPr>
          <w:noProof/>
          <w:color w:val="000000" w:themeColor="text1"/>
          <w:sz w:val="24"/>
          <w:szCs w:val="24"/>
        </w:rPr>
        <w:t>, 504–8 (2013).</w:t>
      </w:r>
    </w:p>
    <w:p w14:paraId="6388E8F7"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7. </w:t>
      </w:r>
      <w:r w:rsidRPr="008E0C1D">
        <w:rPr>
          <w:noProof/>
          <w:color w:val="000000" w:themeColor="text1"/>
          <w:sz w:val="24"/>
          <w:szCs w:val="24"/>
        </w:rPr>
        <w:tab/>
        <w:t xml:space="preserve">R. Geiger, R. H. Aron, P. Todhunter, </w:t>
      </w:r>
      <w:r w:rsidRPr="008E0C1D">
        <w:rPr>
          <w:i/>
          <w:iCs/>
          <w:noProof/>
          <w:color w:val="000000" w:themeColor="text1"/>
          <w:sz w:val="24"/>
          <w:szCs w:val="24"/>
        </w:rPr>
        <w:t>The climate near the ground</w:t>
      </w:r>
      <w:r w:rsidRPr="008E0C1D">
        <w:rPr>
          <w:noProof/>
          <w:color w:val="000000" w:themeColor="text1"/>
          <w:sz w:val="24"/>
          <w:szCs w:val="24"/>
        </w:rPr>
        <w:t xml:space="preserve"> (Rowman and Littlefield, Oxford, 2003).</w:t>
      </w:r>
    </w:p>
    <w:p w14:paraId="165E2546"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8. </w:t>
      </w:r>
      <w:r w:rsidRPr="008E0C1D">
        <w:rPr>
          <w:noProof/>
          <w:color w:val="000000" w:themeColor="text1"/>
          <w:sz w:val="24"/>
          <w:szCs w:val="24"/>
        </w:rPr>
        <w:tab/>
        <w:t xml:space="preserve">K. A. Potter, H. Arthur Woods, S. Pincebourde, Microclimatic challenges in global change biology.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19</w:t>
      </w:r>
      <w:r w:rsidRPr="008E0C1D">
        <w:rPr>
          <w:noProof/>
          <w:color w:val="000000" w:themeColor="text1"/>
          <w:sz w:val="24"/>
          <w:szCs w:val="24"/>
        </w:rPr>
        <w:t>, 2932–2939 (2013).</w:t>
      </w:r>
    </w:p>
    <w:p w14:paraId="34C8A43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9. </w:t>
      </w:r>
      <w:r w:rsidRPr="008E0C1D">
        <w:rPr>
          <w:noProof/>
          <w:color w:val="000000" w:themeColor="text1"/>
          <w:sz w:val="24"/>
          <w:szCs w:val="24"/>
        </w:rPr>
        <w:tab/>
        <w:t xml:space="preserve">P. De Frenne </w:t>
      </w:r>
      <w:r w:rsidRPr="008E0C1D">
        <w:rPr>
          <w:i/>
          <w:noProof/>
          <w:color w:val="000000" w:themeColor="text1"/>
          <w:sz w:val="24"/>
          <w:szCs w:val="24"/>
        </w:rPr>
        <w:t>et al</w:t>
      </w:r>
      <w:r w:rsidRPr="008E0C1D">
        <w:rPr>
          <w:noProof/>
          <w:color w:val="000000" w:themeColor="text1"/>
          <w:sz w:val="24"/>
          <w:szCs w:val="24"/>
        </w:rPr>
        <w:t xml:space="preserve">., Global buffering of temperatures under forest canopies. </w:t>
      </w:r>
      <w:r w:rsidRPr="008E0C1D">
        <w:rPr>
          <w:i/>
          <w:iCs/>
          <w:noProof/>
          <w:color w:val="000000" w:themeColor="text1"/>
          <w:sz w:val="24"/>
          <w:szCs w:val="24"/>
        </w:rPr>
        <w:t>Nat. Ecol. Evol.</w:t>
      </w:r>
      <w:r w:rsidRPr="008E0C1D">
        <w:rPr>
          <w:noProof/>
          <w:color w:val="000000" w:themeColor="text1"/>
          <w:sz w:val="24"/>
          <w:szCs w:val="24"/>
        </w:rPr>
        <w:t xml:space="preserve"> </w:t>
      </w:r>
      <w:r w:rsidRPr="008E0C1D">
        <w:rPr>
          <w:b/>
          <w:bCs/>
          <w:noProof/>
          <w:color w:val="000000" w:themeColor="text1"/>
          <w:sz w:val="24"/>
          <w:szCs w:val="24"/>
        </w:rPr>
        <w:t>3</w:t>
      </w:r>
      <w:r w:rsidRPr="008E0C1D">
        <w:rPr>
          <w:noProof/>
          <w:color w:val="000000" w:themeColor="text1"/>
          <w:sz w:val="24"/>
          <w:szCs w:val="24"/>
        </w:rPr>
        <w:t>, 744–749 (2019).</w:t>
      </w:r>
    </w:p>
    <w:p w14:paraId="10512EF2"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10. </w:t>
      </w:r>
      <w:r w:rsidRPr="008E0C1D">
        <w:rPr>
          <w:noProof/>
          <w:color w:val="000000" w:themeColor="text1"/>
          <w:sz w:val="24"/>
          <w:szCs w:val="24"/>
        </w:rPr>
        <w:tab/>
        <w:t xml:space="preserve">R. Bertrand </w:t>
      </w:r>
      <w:r w:rsidRPr="008E0C1D">
        <w:rPr>
          <w:i/>
          <w:noProof/>
          <w:color w:val="000000" w:themeColor="text1"/>
          <w:sz w:val="24"/>
          <w:szCs w:val="24"/>
        </w:rPr>
        <w:t>et al.</w:t>
      </w:r>
      <w:r w:rsidRPr="008E0C1D">
        <w:rPr>
          <w:noProof/>
          <w:color w:val="000000" w:themeColor="text1"/>
          <w:sz w:val="24"/>
          <w:szCs w:val="24"/>
        </w:rPr>
        <w:t xml:space="preserve">, Changes in plant community composition lag behind climate warming in lowland forests. </w:t>
      </w:r>
      <w:r w:rsidRPr="008E0C1D">
        <w:rPr>
          <w:i/>
          <w:iCs/>
          <w:noProof/>
          <w:color w:val="000000" w:themeColor="text1"/>
          <w:sz w:val="24"/>
          <w:szCs w:val="24"/>
        </w:rPr>
        <w:t>Nature</w:t>
      </w:r>
      <w:r w:rsidRPr="008E0C1D">
        <w:rPr>
          <w:noProof/>
          <w:color w:val="000000" w:themeColor="text1"/>
          <w:sz w:val="24"/>
          <w:szCs w:val="24"/>
        </w:rPr>
        <w:t xml:space="preserve">. </w:t>
      </w:r>
      <w:r w:rsidRPr="008E0C1D">
        <w:rPr>
          <w:b/>
          <w:bCs/>
          <w:noProof/>
          <w:color w:val="000000" w:themeColor="text1"/>
          <w:sz w:val="24"/>
          <w:szCs w:val="24"/>
        </w:rPr>
        <w:t>479</w:t>
      </w:r>
      <w:r w:rsidRPr="008E0C1D">
        <w:rPr>
          <w:noProof/>
          <w:color w:val="000000" w:themeColor="text1"/>
          <w:sz w:val="24"/>
          <w:szCs w:val="24"/>
        </w:rPr>
        <w:t>, 517–520 (2011).</w:t>
      </w:r>
    </w:p>
    <w:p w14:paraId="1582C6A5"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11. </w:t>
      </w:r>
      <w:r w:rsidRPr="008E0C1D">
        <w:rPr>
          <w:noProof/>
          <w:color w:val="000000" w:themeColor="text1"/>
          <w:sz w:val="24"/>
          <w:szCs w:val="24"/>
        </w:rPr>
        <w:tab/>
        <w:t xml:space="preserve">J. M. Alexander </w:t>
      </w:r>
      <w:r w:rsidRPr="008E0C1D">
        <w:rPr>
          <w:i/>
          <w:noProof/>
          <w:color w:val="000000" w:themeColor="text1"/>
          <w:sz w:val="24"/>
          <w:szCs w:val="24"/>
        </w:rPr>
        <w:t>et al.</w:t>
      </w:r>
      <w:r w:rsidRPr="008E0C1D">
        <w:rPr>
          <w:noProof/>
          <w:color w:val="000000" w:themeColor="text1"/>
          <w:sz w:val="24"/>
          <w:szCs w:val="24"/>
        </w:rPr>
        <w:t xml:space="preserve">, Lags in the response of mountain plant communities to climate change.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24</w:t>
      </w:r>
      <w:r w:rsidRPr="008E0C1D">
        <w:rPr>
          <w:noProof/>
          <w:color w:val="000000" w:themeColor="text1"/>
          <w:sz w:val="24"/>
          <w:szCs w:val="24"/>
        </w:rPr>
        <w:t>, 563–579 (2018).</w:t>
      </w:r>
    </w:p>
    <w:p w14:paraId="550B5B6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12. </w:t>
      </w:r>
      <w:r w:rsidRPr="008E0C1D">
        <w:rPr>
          <w:noProof/>
          <w:color w:val="000000" w:themeColor="text1"/>
          <w:sz w:val="24"/>
          <w:szCs w:val="24"/>
        </w:rPr>
        <w:tab/>
        <w:t xml:space="preserve">B. Fadrique </w:t>
      </w:r>
      <w:r w:rsidRPr="008E0C1D">
        <w:rPr>
          <w:i/>
          <w:noProof/>
          <w:color w:val="000000" w:themeColor="text1"/>
          <w:sz w:val="24"/>
          <w:szCs w:val="24"/>
        </w:rPr>
        <w:t>et al.</w:t>
      </w:r>
      <w:r w:rsidRPr="008E0C1D">
        <w:rPr>
          <w:noProof/>
          <w:color w:val="000000" w:themeColor="text1"/>
          <w:sz w:val="24"/>
          <w:szCs w:val="24"/>
        </w:rPr>
        <w:t xml:space="preserve">, Widespread but heterogeneous responses of Andean forests to climate change. </w:t>
      </w:r>
      <w:r w:rsidRPr="008E0C1D">
        <w:rPr>
          <w:i/>
          <w:iCs/>
          <w:noProof/>
          <w:color w:val="000000" w:themeColor="text1"/>
          <w:sz w:val="24"/>
          <w:szCs w:val="24"/>
        </w:rPr>
        <w:t>Nature</w:t>
      </w:r>
      <w:r w:rsidRPr="008E0C1D">
        <w:rPr>
          <w:noProof/>
          <w:color w:val="000000" w:themeColor="text1"/>
          <w:sz w:val="24"/>
          <w:szCs w:val="24"/>
        </w:rPr>
        <w:t xml:space="preserve">. </w:t>
      </w:r>
      <w:r w:rsidRPr="008E0C1D">
        <w:rPr>
          <w:b/>
          <w:bCs/>
          <w:noProof/>
          <w:color w:val="000000" w:themeColor="text1"/>
          <w:sz w:val="24"/>
          <w:szCs w:val="24"/>
        </w:rPr>
        <w:t>564</w:t>
      </w:r>
      <w:r w:rsidRPr="008E0C1D">
        <w:rPr>
          <w:noProof/>
          <w:color w:val="000000" w:themeColor="text1"/>
          <w:sz w:val="24"/>
          <w:szCs w:val="24"/>
        </w:rPr>
        <w:t>, 207–212 (2018).</w:t>
      </w:r>
    </w:p>
    <w:p w14:paraId="2FBEE98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13. </w:t>
      </w:r>
      <w:r w:rsidRPr="008E0C1D">
        <w:rPr>
          <w:noProof/>
          <w:color w:val="000000" w:themeColor="text1"/>
          <w:sz w:val="24"/>
          <w:szCs w:val="24"/>
        </w:rPr>
        <w:tab/>
        <w:t xml:space="preserve">V. Devictor </w:t>
      </w:r>
      <w:r w:rsidRPr="008E0C1D">
        <w:rPr>
          <w:i/>
          <w:noProof/>
          <w:color w:val="000000" w:themeColor="text1"/>
          <w:sz w:val="24"/>
          <w:szCs w:val="24"/>
        </w:rPr>
        <w:t>et al.</w:t>
      </w:r>
      <w:r w:rsidRPr="008E0C1D">
        <w:rPr>
          <w:noProof/>
          <w:color w:val="000000" w:themeColor="text1"/>
          <w:sz w:val="24"/>
          <w:szCs w:val="24"/>
        </w:rPr>
        <w:t xml:space="preserve">, Differences in the climatic debts of birds and butterflies at a continental scale. </w:t>
      </w:r>
      <w:r w:rsidRPr="008E0C1D">
        <w:rPr>
          <w:i/>
          <w:iCs/>
          <w:noProof/>
          <w:color w:val="000000" w:themeColor="text1"/>
          <w:sz w:val="24"/>
          <w:szCs w:val="24"/>
        </w:rPr>
        <w:t>Nat. Clim. Chang.</w:t>
      </w:r>
      <w:r w:rsidRPr="008E0C1D">
        <w:rPr>
          <w:noProof/>
          <w:color w:val="000000" w:themeColor="text1"/>
          <w:sz w:val="24"/>
          <w:szCs w:val="24"/>
        </w:rPr>
        <w:t xml:space="preserve"> </w:t>
      </w:r>
      <w:r w:rsidRPr="008E0C1D">
        <w:rPr>
          <w:b/>
          <w:bCs/>
          <w:noProof/>
          <w:color w:val="000000" w:themeColor="text1"/>
          <w:sz w:val="24"/>
          <w:szCs w:val="24"/>
        </w:rPr>
        <w:t>2</w:t>
      </w:r>
      <w:r w:rsidRPr="008E0C1D">
        <w:rPr>
          <w:noProof/>
          <w:color w:val="000000" w:themeColor="text1"/>
          <w:sz w:val="24"/>
          <w:szCs w:val="24"/>
        </w:rPr>
        <w:t>, 121–124 (2012).</w:t>
      </w:r>
    </w:p>
    <w:p w14:paraId="4A1252E3"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14. </w:t>
      </w:r>
      <w:r w:rsidRPr="008E0C1D">
        <w:rPr>
          <w:noProof/>
          <w:color w:val="000000" w:themeColor="text1"/>
          <w:sz w:val="24"/>
          <w:szCs w:val="24"/>
        </w:rPr>
        <w:tab/>
        <w:t xml:space="preserve">P. De Frenne </w:t>
      </w:r>
      <w:r w:rsidRPr="008E0C1D">
        <w:rPr>
          <w:i/>
          <w:noProof/>
          <w:color w:val="000000" w:themeColor="text1"/>
          <w:sz w:val="24"/>
          <w:szCs w:val="24"/>
        </w:rPr>
        <w:t>et al.</w:t>
      </w:r>
      <w:r w:rsidRPr="008E0C1D">
        <w:rPr>
          <w:noProof/>
          <w:color w:val="000000" w:themeColor="text1"/>
          <w:sz w:val="24"/>
          <w:szCs w:val="24"/>
        </w:rPr>
        <w:t xml:space="preserve">, Microclimate moderates plant responses to macroclimate warming. </w:t>
      </w:r>
      <w:r w:rsidRPr="008E0C1D">
        <w:rPr>
          <w:i/>
          <w:iCs/>
          <w:noProof/>
          <w:color w:val="000000" w:themeColor="text1"/>
          <w:sz w:val="24"/>
          <w:szCs w:val="24"/>
        </w:rPr>
        <w:t>Proc. Natl. Acad. Sci.</w:t>
      </w:r>
      <w:r w:rsidRPr="008E0C1D">
        <w:rPr>
          <w:noProof/>
          <w:color w:val="000000" w:themeColor="text1"/>
          <w:sz w:val="24"/>
          <w:szCs w:val="24"/>
        </w:rPr>
        <w:t xml:space="preserve"> </w:t>
      </w:r>
      <w:r w:rsidRPr="008E0C1D">
        <w:rPr>
          <w:b/>
          <w:bCs/>
          <w:noProof/>
          <w:color w:val="000000" w:themeColor="text1"/>
          <w:sz w:val="24"/>
          <w:szCs w:val="24"/>
        </w:rPr>
        <w:t>110</w:t>
      </w:r>
      <w:r w:rsidRPr="008E0C1D">
        <w:rPr>
          <w:noProof/>
          <w:color w:val="000000" w:themeColor="text1"/>
          <w:sz w:val="24"/>
          <w:szCs w:val="24"/>
        </w:rPr>
        <w:t>, 18561–18565 (2013).</w:t>
      </w:r>
    </w:p>
    <w:p w14:paraId="3C029CB1"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15. </w:t>
      </w:r>
      <w:r w:rsidRPr="008E0C1D">
        <w:rPr>
          <w:noProof/>
          <w:color w:val="000000" w:themeColor="text1"/>
          <w:sz w:val="24"/>
          <w:szCs w:val="24"/>
        </w:rPr>
        <w:tab/>
        <w:t xml:space="preserve">J. Lenoir, J. C. Svenning, Climate-related range shifts – a global multidimensional synthesis and new research directions. </w:t>
      </w:r>
      <w:r w:rsidRPr="008E0C1D">
        <w:rPr>
          <w:i/>
          <w:iCs/>
          <w:noProof/>
          <w:color w:val="000000" w:themeColor="text1"/>
          <w:sz w:val="24"/>
          <w:szCs w:val="24"/>
        </w:rPr>
        <w:t>Ecography.</w:t>
      </w:r>
      <w:r w:rsidRPr="008E0C1D">
        <w:rPr>
          <w:noProof/>
          <w:color w:val="000000" w:themeColor="text1"/>
          <w:sz w:val="24"/>
          <w:szCs w:val="24"/>
        </w:rPr>
        <w:t xml:space="preserve"> </w:t>
      </w:r>
      <w:r w:rsidRPr="008E0C1D">
        <w:rPr>
          <w:b/>
          <w:bCs/>
          <w:noProof/>
          <w:color w:val="000000" w:themeColor="text1"/>
          <w:sz w:val="24"/>
          <w:szCs w:val="24"/>
        </w:rPr>
        <w:t>38</w:t>
      </w:r>
      <w:r w:rsidRPr="008E0C1D">
        <w:rPr>
          <w:noProof/>
          <w:color w:val="000000" w:themeColor="text1"/>
          <w:sz w:val="24"/>
          <w:szCs w:val="24"/>
        </w:rPr>
        <w:t>, 15–28 (2015).</w:t>
      </w:r>
    </w:p>
    <w:p w14:paraId="4B41FE0E"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16. </w:t>
      </w:r>
      <w:r w:rsidRPr="008E0C1D">
        <w:rPr>
          <w:noProof/>
          <w:color w:val="000000" w:themeColor="text1"/>
          <w:sz w:val="24"/>
          <w:szCs w:val="24"/>
        </w:rPr>
        <w:tab/>
        <w:t xml:space="preserve">R. D. Stuart-Smith, G. J. Edgar, N. S. Barrett, S. J. Kininmonth, A. E. Bates, Thermal biases and vulnerability to warming in the world € s marine fauna. </w:t>
      </w:r>
      <w:r w:rsidRPr="008E0C1D">
        <w:rPr>
          <w:i/>
          <w:iCs/>
          <w:noProof/>
          <w:color w:val="000000" w:themeColor="text1"/>
          <w:sz w:val="24"/>
          <w:szCs w:val="24"/>
        </w:rPr>
        <w:t>Nature</w:t>
      </w:r>
      <w:r w:rsidRPr="008E0C1D">
        <w:rPr>
          <w:noProof/>
          <w:color w:val="000000" w:themeColor="text1"/>
          <w:sz w:val="24"/>
          <w:szCs w:val="24"/>
        </w:rPr>
        <w:t xml:space="preserve">. </w:t>
      </w:r>
      <w:r w:rsidRPr="008E0C1D">
        <w:rPr>
          <w:b/>
          <w:bCs/>
          <w:noProof/>
          <w:color w:val="000000" w:themeColor="text1"/>
          <w:sz w:val="24"/>
          <w:szCs w:val="24"/>
        </w:rPr>
        <w:t>528</w:t>
      </w:r>
      <w:r w:rsidRPr="008E0C1D">
        <w:rPr>
          <w:noProof/>
          <w:color w:val="000000" w:themeColor="text1"/>
          <w:sz w:val="24"/>
          <w:szCs w:val="24"/>
        </w:rPr>
        <w:t>, 88–92 (2015).</w:t>
      </w:r>
    </w:p>
    <w:p w14:paraId="3DBC2B10"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17. </w:t>
      </w:r>
      <w:r w:rsidRPr="008E0C1D">
        <w:rPr>
          <w:noProof/>
          <w:color w:val="000000" w:themeColor="text1"/>
          <w:sz w:val="24"/>
          <w:szCs w:val="24"/>
        </w:rPr>
        <w:tab/>
        <w:t>M. Gottfried</w:t>
      </w:r>
      <w:r w:rsidRPr="008E0C1D">
        <w:rPr>
          <w:i/>
          <w:noProof/>
          <w:color w:val="000000" w:themeColor="text1"/>
          <w:sz w:val="24"/>
          <w:szCs w:val="24"/>
        </w:rPr>
        <w:t xml:space="preserve"> et al.</w:t>
      </w:r>
      <w:r w:rsidRPr="008E0C1D">
        <w:rPr>
          <w:noProof/>
          <w:color w:val="000000" w:themeColor="text1"/>
          <w:sz w:val="24"/>
          <w:szCs w:val="24"/>
        </w:rPr>
        <w:t xml:space="preserve">, Continent-wide response of mountain vegetation to climate change. </w:t>
      </w:r>
      <w:r w:rsidRPr="008E0C1D">
        <w:rPr>
          <w:i/>
          <w:iCs/>
          <w:noProof/>
          <w:color w:val="000000" w:themeColor="text1"/>
          <w:sz w:val="24"/>
          <w:szCs w:val="24"/>
        </w:rPr>
        <w:t>Nat. Clim. Chang.</w:t>
      </w:r>
      <w:r w:rsidRPr="008E0C1D">
        <w:rPr>
          <w:noProof/>
          <w:color w:val="000000" w:themeColor="text1"/>
          <w:sz w:val="24"/>
          <w:szCs w:val="24"/>
        </w:rPr>
        <w:t xml:space="preserve"> </w:t>
      </w:r>
      <w:r w:rsidRPr="008E0C1D">
        <w:rPr>
          <w:b/>
          <w:bCs/>
          <w:noProof/>
          <w:color w:val="000000" w:themeColor="text1"/>
          <w:sz w:val="24"/>
          <w:szCs w:val="24"/>
        </w:rPr>
        <w:t>2</w:t>
      </w:r>
      <w:r w:rsidRPr="008E0C1D">
        <w:rPr>
          <w:noProof/>
          <w:color w:val="000000" w:themeColor="text1"/>
          <w:sz w:val="24"/>
          <w:szCs w:val="24"/>
        </w:rPr>
        <w:t>, 111–115 (2012).</w:t>
      </w:r>
    </w:p>
    <w:p w14:paraId="76CCE5B1"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18. </w:t>
      </w:r>
      <w:r w:rsidRPr="008E0C1D">
        <w:rPr>
          <w:noProof/>
          <w:color w:val="000000" w:themeColor="text1"/>
          <w:sz w:val="24"/>
          <w:szCs w:val="24"/>
        </w:rPr>
        <w:tab/>
        <w:t>S. R. Loarie</w:t>
      </w:r>
      <w:r w:rsidRPr="008E0C1D">
        <w:rPr>
          <w:i/>
          <w:noProof/>
          <w:color w:val="000000" w:themeColor="text1"/>
          <w:sz w:val="24"/>
          <w:szCs w:val="24"/>
        </w:rPr>
        <w:t xml:space="preserve"> et al.</w:t>
      </w:r>
      <w:r w:rsidRPr="008E0C1D">
        <w:rPr>
          <w:noProof/>
          <w:color w:val="000000" w:themeColor="text1"/>
          <w:sz w:val="24"/>
          <w:szCs w:val="24"/>
        </w:rPr>
        <w:t xml:space="preserve">, The velocity of climate change. </w:t>
      </w:r>
      <w:r w:rsidRPr="008E0C1D">
        <w:rPr>
          <w:i/>
          <w:iCs/>
          <w:noProof/>
          <w:color w:val="000000" w:themeColor="text1"/>
          <w:sz w:val="24"/>
          <w:szCs w:val="24"/>
        </w:rPr>
        <w:t>Nature</w:t>
      </w:r>
      <w:r w:rsidRPr="008E0C1D">
        <w:rPr>
          <w:noProof/>
          <w:color w:val="000000" w:themeColor="text1"/>
          <w:sz w:val="24"/>
          <w:szCs w:val="24"/>
        </w:rPr>
        <w:t xml:space="preserve">. </w:t>
      </w:r>
      <w:r w:rsidRPr="008E0C1D">
        <w:rPr>
          <w:b/>
          <w:bCs/>
          <w:noProof/>
          <w:color w:val="000000" w:themeColor="text1"/>
          <w:sz w:val="24"/>
          <w:szCs w:val="24"/>
        </w:rPr>
        <w:t>462</w:t>
      </w:r>
      <w:r w:rsidRPr="008E0C1D">
        <w:rPr>
          <w:noProof/>
          <w:color w:val="000000" w:themeColor="text1"/>
          <w:sz w:val="24"/>
          <w:szCs w:val="24"/>
        </w:rPr>
        <w:t>, 1052–1055 (2009).</w:t>
      </w:r>
    </w:p>
    <w:p w14:paraId="2D94B22F"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19. </w:t>
      </w:r>
      <w:r w:rsidRPr="008E0C1D">
        <w:rPr>
          <w:noProof/>
          <w:color w:val="000000" w:themeColor="text1"/>
          <w:sz w:val="24"/>
          <w:szCs w:val="24"/>
        </w:rPr>
        <w:tab/>
        <w:t>M. T. Burrows</w:t>
      </w:r>
      <w:r w:rsidRPr="008E0C1D">
        <w:rPr>
          <w:i/>
          <w:noProof/>
          <w:color w:val="000000" w:themeColor="text1"/>
          <w:sz w:val="24"/>
          <w:szCs w:val="24"/>
        </w:rPr>
        <w:t xml:space="preserve"> et al.</w:t>
      </w:r>
      <w:r w:rsidRPr="008E0C1D">
        <w:rPr>
          <w:noProof/>
          <w:color w:val="000000" w:themeColor="text1"/>
          <w:sz w:val="24"/>
          <w:szCs w:val="24"/>
        </w:rPr>
        <w:t xml:space="preserve">, The Pace of Shifting Climate in Marine and Terrestrial Ecosystems. </w:t>
      </w:r>
      <w:r w:rsidRPr="008E0C1D">
        <w:rPr>
          <w:i/>
          <w:iCs/>
          <w:noProof/>
          <w:color w:val="000000" w:themeColor="text1"/>
          <w:sz w:val="24"/>
          <w:szCs w:val="24"/>
        </w:rPr>
        <w:t>Science.</w:t>
      </w:r>
      <w:r w:rsidRPr="008E0C1D">
        <w:rPr>
          <w:noProof/>
          <w:color w:val="000000" w:themeColor="text1"/>
          <w:sz w:val="24"/>
          <w:szCs w:val="24"/>
        </w:rPr>
        <w:t xml:space="preserve"> </w:t>
      </w:r>
      <w:r w:rsidRPr="008E0C1D">
        <w:rPr>
          <w:b/>
          <w:bCs/>
          <w:noProof/>
          <w:color w:val="000000" w:themeColor="text1"/>
          <w:sz w:val="24"/>
          <w:szCs w:val="24"/>
        </w:rPr>
        <w:t>334</w:t>
      </w:r>
      <w:r w:rsidRPr="008E0C1D">
        <w:rPr>
          <w:noProof/>
          <w:color w:val="000000" w:themeColor="text1"/>
          <w:sz w:val="24"/>
          <w:szCs w:val="24"/>
        </w:rPr>
        <w:t>, 652–655 (2011).</w:t>
      </w:r>
    </w:p>
    <w:p w14:paraId="3C848AB8"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20. </w:t>
      </w:r>
      <w:r w:rsidRPr="008E0C1D">
        <w:rPr>
          <w:noProof/>
          <w:color w:val="000000" w:themeColor="text1"/>
          <w:sz w:val="24"/>
          <w:szCs w:val="24"/>
        </w:rPr>
        <w:tab/>
        <w:t>R. Bertrand</w:t>
      </w:r>
      <w:r w:rsidRPr="008E0C1D">
        <w:rPr>
          <w:i/>
          <w:noProof/>
          <w:color w:val="000000" w:themeColor="text1"/>
          <w:sz w:val="24"/>
          <w:szCs w:val="24"/>
        </w:rPr>
        <w:t xml:space="preserve"> et al.</w:t>
      </w:r>
      <w:r w:rsidRPr="008E0C1D">
        <w:rPr>
          <w:noProof/>
          <w:color w:val="000000" w:themeColor="text1"/>
          <w:sz w:val="24"/>
          <w:szCs w:val="24"/>
        </w:rPr>
        <w:t xml:space="preserve">, Ecological constraints increase the climatic debt in forests. </w:t>
      </w:r>
      <w:r w:rsidRPr="008E0C1D">
        <w:rPr>
          <w:i/>
          <w:iCs/>
          <w:noProof/>
          <w:color w:val="000000" w:themeColor="text1"/>
          <w:sz w:val="24"/>
          <w:szCs w:val="24"/>
        </w:rPr>
        <w:t>Nat. Commun.</w:t>
      </w:r>
      <w:r w:rsidRPr="008E0C1D">
        <w:rPr>
          <w:noProof/>
          <w:color w:val="000000" w:themeColor="text1"/>
          <w:sz w:val="24"/>
          <w:szCs w:val="24"/>
        </w:rPr>
        <w:t xml:space="preserve"> </w:t>
      </w:r>
      <w:r w:rsidRPr="008E0C1D">
        <w:rPr>
          <w:b/>
          <w:bCs/>
          <w:noProof/>
          <w:color w:val="000000" w:themeColor="text1"/>
          <w:sz w:val="24"/>
          <w:szCs w:val="24"/>
        </w:rPr>
        <w:t>7</w:t>
      </w:r>
      <w:r w:rsidRPr="008E0C1D">
        <w:rPr>
          <w:noProof/>
          <w:color w:val="000000" w:themeColor="text1"/>
          <w:sz w:val="24"/>
          <w:szCs w:val="24"/>
        </w:rPr>
        <w:t>, 12643 (2016).</w:t>
      </w:r>
    </w:p>
    <w:p w14:paraId="43CA7FEC"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21. </w:t>
      </w:r>
      <w:r w:rsidRPr="008E0C1D">
        <w:rPr>
          <w:noProof/>
          <w:color w:val="000000" w:themeColor="text1"/>
          <w:sz w:val="24"/>
          <w:szCs w:val="24"/>
        </w:rPr>
        <w:tab/>
        <w:t>F. Zellweger</w:t>
      </w:r>
      <w:r w:rsidRPr="008E0C1D">
        <w:rPr>
          <w:i/>
          <w:noProof/>
          <w:color w:val="000000" w:themeColor="text1"/>
          <w:sz w:val="24"/>
          <w:szCs w:val="24"/>
        </w:rPr>
        <w:t xml:space="preserve"> et al.</w:t>
      </w:r>
      <w:r w:rsidRPr="008E0C1D">
        <w:rPr>
          <w:noProof/>
          <w:color w:val="000000" w:themeColor="text1"/>
          <w:sz w:val="24"/>
          <w:szCs w:val="24"/>
        </w:rPr>
        <w:t xml:space="preserve">, Seasonal drivers of understorey temperature buffering in temperate deciduous forests across Europe. </w:t>
      </w:r>
      <w:r w:rsidRPr="008E0C1D">
        <w:rPr>
          <w:i/>
          <w:iCs/>
          <w:noProof/>
          <w:color w:val="000000" w:themeColor="text1"/>
          <w:sz w:val="24"/>
          <w:szCs w:val="24"/>
        </w:rPr>
        <w:t>Glob. Ecol. Biogeogr.</w:t>
      </w:r>
      <w:r w:rsidRPr="008E0C1D">
        <w:rPr>
          <w:noProof/>
          <w:color w:val="000000" w:themeColor="text1"/>
          <w:sz w:val="24"/>
          <w:szCs w:val="24"/>
        </w:rPr>
        <w:t xml:space="preserve"> </w:t>
      </w:r>
      <w:r w:rsidRPr="008E0C1D">
        <w:rPr>
          <w:b/>
          <w:bCs/>
          <w:noProof/>
          <w:color w:val="000000" w:themeColor="text1"/>
          <w:sz w:val="24"/>
          <w:szCs w:val="24"/>
        </w:rPr>
        <w:t>28</w:t>
      </w:r>
      <w:r w:rsidRPr="008E0C1D">
        <w:rPr>
          <w:noProof/>
          <w:color w:val="000000" w:themeColor="text1"/>
          <w:sz w:val="24"/>
          <w:szCs w:val="24"/>
        </w:rPr>
        <w:t>, 1774–1786 (2019).</w:t>
      </w:r>
    </w:p>
    <w:p w14:paraId="4A9A5AB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22. </w:t>
      </w:r>
      <w:r w:rsidRPr="008E0C1D">
        <w:rPr>
          <w:noProof/>
          <w:color w:val="000000" w:themeColor="text1"/>
          <w:sz w:val="24"/>
          <w:szCs w:val="24"/>
        </w:rPr>
        <w:tab/>
        <w:t>T. Jucker</w:t>
      </w:r>
      <w:r w:rsidRPr="008E0C1D">
        <w:rPr>
          <w:i/>
          <w:noProof/>
          <w:color w:val="000000" w:themeColor="text1"/>
          <w:sz w:val="24"/>
          <w:szCs w:val="24"/>
        </w:rPr>
        <w:t xml:space="preserve"> et al.</w:t>
      </w:r>
      <w:r w:rsidRPr="008E0C1D">
        <w:rPr>
          <w:noProof/>
          <w:color w:val="000000" w:themeColor="text1"/>
          <w:sz w:val="24"/>
          <w:szCs w:val="24"/>
        </w:rPr>
        <w:t xml:space="preserve">, Canopy structure and topography jointly constrain the microclimate of human-modified tropical landscapes.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24</w:t>
      </w:r>
      <w:r w:rsidRPr="008E0C1D">
        <w:rPr>
          <w:noProof/>
          <w:color w:val="000000" w:themeColor="text1"/>
          <w:sz w:val="24"/>
          <w:szCs w:val="24"/>
        </w:rPr>
        <w:t>, 5243–5258 (2018).</w:t>
      </w:r>
    </w:p>
    <w:p w14:paraId="1E974AD1"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23. </w:t>
      </w:r>
      <w:r w:rsidRPr="008E0C1D">
        <w:rPr>
          <w:noProof/>
          <w:color w:val="000000" w:themeColor="text1"/>
          <w:sz w:val="24"/>
          <w:szCs w:val="24"/>
        </w:rPr>
        <w:tab/>
        <w:t>“Materials and methods are available as supplementary materials.”</w:t>
      </w:r>
    </w:p>
    <w:p w14:paraId="2D1E0513"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24. </w:t>
      </w:r>
      <w:r w:rsidRPr="008E0C1D">
        <w:rPr>
          <w:noProof/>
          <w:color w:val="000000" w:themeColor="text1"/>
          <w:sz w:val="24"/>
          <w:szCs w:val="24"/>
        </w:rPr>
        <w:tab/>
        <w:t>A. J. Nowakowski</w:t>
      </w:r>
      <w:r w:rsidRPr="008E0C1D">
        <w:rPr>
          <w:i/>
          <w:noProof/>
          <w:color w:val="000000" w:themeColor="text1"/>
          <w:sz w:val="24"/>
          <w:szCs w:val="24"/>
        </w:rPr>
        <w:t xml:space="preserve"> et al.</w:t>
      </w:r>
      <w:r w:rsidRPr="008E0C1D">
        <w:rPr>
          <w:noProof/>
          <w:color w:val="000000" w:themeColor="text1"/>
          <w:sz w:val="24"/>
          <w:szCs w:val="24"/>
        </w:rPr>
        <w:t xml:space="preserve">, Thermal biology mediates responses of amphibians and reptiles to habitat modification. </w:t>
      </w:r>
      <w:r w:rsidRPr="008E0C1D">
        <w:rPr>
          <w:i/>
          <w:iCs/>
          <w:noProof/>
          <w:color w:val="000000" w:themeColor="text1"/>
          <w:sz w:val="24"/>
          <w:szCs w:val="24"/>
        </w:rPr>
        <w:t>Ecol Lett</w:t>
      </w:r>
      <w:r w:rsidRPr="008E0C1D">
        <w:rPr>
          <w:noProof/>
          <w:color w:val="000000" w:themeColor="text1"/>
          <w:sz w:val="24"/>
          <w:szCs w:val="24"/>
        </w:rPr>
        <w:t xml:space="preserve">. </w:t>
      </w:r>
      <w:r w:rsidRPr="008E0C1D">
        <w:rPr>
          <w:b/>
          <w:bCs/>
          <w:noProof/>
          <w:color w:val="000000" w:themeColor="text1"/>
          <w:sz w:val="24"/>
          <w:szCs w:val="24"/>
        </w:rPr>
        <w:t>21</w:t>
      </w:r>
      <w:r w:rsidRPr="008E0C1D">
        <w:rPr>
          <w:noProof/>
          <w:color w:val="000000" w:themeColor="text1"/>
          <w:sz w:val="24"/>
          <w:szCs w:val="24"/>
        </w:rPr>
        <w:t>, 345–355 (2018).</w:t>
      </w:r>
    </w:p>
    <w:p w14:paraId="73B578E0"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25. </w:t>
      </w:r>
      <w:r w:rsidRPr="008E0C1D">
        <w:rPr>
          <w:noProof/>
          <w:color w:val="000000" w:themeColor="text1"/>
          <w:sz w:val="24"/>
          <w:szCs w:val="24"/>
        </w:rPr>
        <w:tab/>
        <w:t>MEA, “Millennium Ecosystem Assessment. Ecosystems and Human Well-being: Biodiversity Sysnthesis” (World Resource Institute, Washington, DC, 2005), (available at internal-pdf://228.60.152.82/Assessment-2005.pdf LB  - MEA).</w:t>
      </w:r>
    </w:p>
    <w:p w14:paraId="13EB1473"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26. </w:t>
      </w:r>
      <w:r w:rsidRPr="008E0C1D">
        <w:rPr>
          <w:noProof/>
          <w:color w:val="000000" w:themeColor="text1"/>
          <w:sz w:val="24"/>
          <w:szCs w:val="24"/>
        </w:rPr>
        <w:tab/>
        <w:t>I. Bramer</w:t>
      </w:r>
      <w:r w:rsidRPr="008E0C1D">
        <w:rPr>
          <w:i/>
          <w:noProof/>
          <w:color w:val="000000" w:themeColor="text1"/>
          <w:sz w:val="24"/>
          <w:szCs w:val="24"/>
        </w:rPr>
        <w:t xml:space="preserve"> et al.</w:t>
      </w:r>
      <w:r w:rsidRPr="008E0C1D">
        <w:rPr>
          <w:noProof/>
          <w:color w:val="000000" w:themeColor="text1"/>
          <w:sz w:val="24"/>
          <w:szCs w:val="24"/>
        </w:rPr>
        <w:t xml:space="preserve">, Advances in Monitoring and Modelling Climate at Ecologically Relevant Scales. </w:t>
      </w:r>
      <w:r w:rsidRPr="008E0C1D">
        <w:rPr>
          <w:i/>
          <w:iCs/>
          <w:noProof/>
          <w:color w:val="000000" w:themeColor="text1"/>
          <w:sz w:val="24"/>
          <w:szCs w:val="24"/>
        </w:rPr>
        <w:t>Adv. Ecol. Res.</w:t>
      </w:r>
      <w:r w:rsidRPr="008E0C1D">
        <w:rPr>
          <w:noProof/>
          <w:color w:val="000000" w:themeColor="text1"/>
          <w:sz w:val="24"/>
          <w:szCs w:val="24"/>
        </w:rPr>
        <w:t xml:space="preserve"> </w:t>
      </w:r>
      <w:r w:rsidRPr="008E0C1D">
        <w:rPr>
          <w:b/>
          <w:bCs/>
          <w:noProof/>
          <w:color w:val="000000" w:themeColor="text1"/>
          <w:sz w:val="24"/>
          <w:szCs w:val="24"/>
        </w:rPr>
        <w:t>58</w:t>
      </w:r>
      <w:r w:rsidRPr="008E0C1D">
        <w:rPr>
          <w:noProof/>
          <w:color w:val="000000" w:themeColor="text1"/>
          <w:sz w:val="24"/>
          <w:szCs w:val="24"/>
        </w:rPr>
        <w:t>, 101–161 (2018).</w:t>
      </w:r>
    </w:p>
    <w:p w14:paraId="3C7C48FC"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27. </w:t>
      </w:r>
      <w:r w:rsidRPr="008E0C1D">
        <w:rPr>
          <w:noProof/>
          <w:color w:val="000000" w:themeColor="text1"/>
          <w:sz w:val="24"/>
          <w:szCs w:val="24"/>
        </w:rPr>
        <w:tab/>
        <w:t xml:space="preserve">J. Lenoir, T. Hattab, G. Pierre, Climatic microrefugia under anthropogenic climate change: implications for species redistribution. </w:t>
      </w:r>
      <w:r w:rsidRPr="008E0C1D">
        <w:rPr>
          <w:i/>
          <w:iCs/>
          <w:noProof/>
          <w:color w:val="000000" w:themeColor="text1"/>
          <w:sz w:val="24"/>
          <w:szCs w:val="24"/>
        </w:rPr>
        <w:t>Ecography.</w:t>
      </w:r>
      <w:r w:rsidRPr="008E0C1D">
        <w:rPr>
          <w:noProof/>
          <w:color w:val="000000" w:themeColor="text1"/>
          <w:sz w:val="24"/>
          <w:szCs w:val="24"/>
        </w:rPr>
        <w:t xml:space="preserve"> </w:t>
      </w:r>
      <w:r w:rsidRPr="008E0C1D">
        <w:rPr>
          <w:b/>
          <w:bCs/>
          <w:noProof/>
          <w:color w:val="000000" w:themeColor="text1"/>
          <w:sz w:val="24"/>
          <w:szCs w:val="24"/>
        </w:rPr>
        <w:t>40</w:t>
      </w:r>
      <w:r w:rsidRPr="008E0C1D">
        <w:rPr>
          <w:noProof/>
          <w:color w:val="000000" w:themeColor="text1"/>
          <w:sz w:val="24"/>
          <w:szCs w:val="24"/>
        </w:rPr>
        <w:t>, 253–266 (2017).</w:t>
      </w:r>
    </w:p>
    <w:p w14:paraId="0708B0C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28. </w:t>
      </w:r>
      <w:r w:rsidRPr="008E0C1D">
        <w:rPr>
          <w:noProof/>
          <w:color w:val="000000" w:themeColor="text1"/>
          <w:sz w:val="24"/>
          <w:szCs w:val="24"/>
        </w:rPr>
        <w:tab/>
        <w:t xml:space="preserve">F. Zellweger, P. De Frenne, J. Lenoir, D. Rocchini, D. Coomes, Advances in microclimate ecology arising from remote sensing. </w:t>
      </w:r>
      <w:r w:rsidRPr="008E0C1D">
        <w:rPr>
          <w:i/>
          <w:iCs/>
          <w:noProof/>
          <w:color w:val="000000" w:themeColor="text1"/>
          <w:sz w:val="24"/>
          <w:szCs w:val="24"/>
        </w:rPr>
        <w:t>Trends Ecol. Evol.</w:t>
      </w:r>
      <w:r w:rsidRPr="008E0C1D">
        <w:rPr>
          <w:noProof/>
          <w:color w:val="000000" w:themeColor="text1"/>
          <w:sz w:val="24"/>
          <w:szCs w:val="24"/>
        </w:rPr>
        <w:t xml:space="preserve"> </w:t>
      </w:r>
      <w:r w:rsidRPr="008E0C1D">
        <w:rPr>
          <w:b/>
          <w:bCs/>
          <w:noProof/>
          <w:color w:val="000000" w:themeColor="text1"/>
          <w:sz w:val="24"/>
          <w:szCs w:val="24"/>
        </w:rPr>
        <w:t>34</w:t>
      </w:r>
      <w:r w:rsidRPr="008E0C1D">
        <w:rPr>
          <w:noProof/>
          <w:color w:val="000000" w:themeColor="text1"/>
          <w:sz w:val="24"/>
          <w:szCs w:val="24"/>
        </w:rPr>
        <w:t>, 327–341 (2019).</w:t>
      </w:r>
    </w:p>
    <w:p w14:paraId="7372BC33"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lastRenderedPageBreak/>
        <w:t xml:space="preserve">29. </w:t>
      </w:r>
      <w:r w:rsidRPr="008E0C1D">
        <w:rPr>
          <w:noProof/>
          <w:color w:val="000000" w:themeColor="text1"/>
          <w:sz w:val="24"/>
          <w:szCs w:val="24"/>
        </w:rPr>
        <w:tab/>
        <w:t xml:space="preserve">M. R. Kearney, P. K. Gillingham, I. Bramer, J. P. Duffy, I. M. D. Maclean, A method for computing hourly, historical, terrain-corrected microclimate anywhere on Earth. </w:t>
      </w:r>
      <w:r w:rsidRPr="008E0C1D">
        <w:rPr>
          <w:i/>
          <w:iCs/>
          <w:noProof/>
          <w:color w:val="000000" w:themeColor="text1"/>
          <w:sz w:val="24"/>
          <w:szCs w:val="24"/>
        </w:rPr>
        <w:t>Methods Ecol. Evol.</w:t>
      </w:r>
      <w:r w:rsidRPr="008E0C1D">
        <w:rPr>
          <w:noProof/>
          <w:color w:val="000000" w:themeColor="text1"/>
          <w:sz w:val="24"/>
          <w:szCs w:val="24"/>
        </w:rPr>
        <w:t xml:space="preserve"> (2019).</w:t>
      </w:r>
    </w:p>
    <w:p w14:paraId="13AADEAD"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30. </w:t>
      </w:r>
      <w:r w:rsidRPr="008E0C1D">
        <w:rPr>
          <w:noProof/>
          <w:color w:val="000000" w:themeColor="text1"/>
          <w:sz w:val="24"/>
          <w:szCs w:val="24"/>
        </w:rPr>
        <w:tab/>
        <w:t>C. P. Reyer</w:t>
      </w:r>
      <w:r w:rsidRPr="008E0C1D">
        <w:rPr>
          <w:i/>
          <w:noProof/>
          <w:color w:val="000000" w:themeColor="text1"/>
          <w:sz w:val="24"/>
          <w:szCs w:val="24"/>
        </w:rPr>
        <w:t xml:space="preserve"> et al.</w:t>
      </w:r>
      <w:r w:rsidRPr="008E0C1D">
        <w:rPr>
          <w:noProof/>
          <w:color w:val="000000" w:themeColor="text1"/>
          <w:sz w:val="24"/>
          <w:szCs w:val="24"/>
        </w:rPr>
        <w:t xml:space="preserve">, A plant’s perspective of extremes: terrestrial plant responses to changing climatic variability.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19</w:t>
      </w:r>
      <w:r w:rsidRPr="008E0C1D">
        <w:rPr>
          <w:noProof/>
          <w:color w:val="000000" w:themeColor="text1"/>
          <w:sz w:val="24"/>
          <w:szCs w:val="24"/>
        </w:rPr>
        <w:t>, 75–89 (2013).</w:t>
      </w:r>
    </w:p>
    <w:p w14:paraId="1D2D46ED"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31. </w:t>
      </w:r>
      <w:r w:rsidRPr="008E0C1D">
        <w:rPr>
          <w:noProof/>
          <w:color w:val="000000" w:themeColor="text1"/>
          <w:sz w:val="24"/>
          <w:szCs w:val="24"/>
        </w:rPr>
        <w:tab/>
        <w:t>A. J. Suggitt</w:t>
      </w:r>
      <w:r w:rsidRPr="008E0C1D">
        <w:rPr>
          <w:i/>
          <w:noProof/>
          <w:color w:val="000000" w:themeColor="text1"/>
          <w:sz w:val="24"/>
          <w:szCs w:val="24"/>
        </w:rPr>
        <w:t xml:space="preserve"> et al.</w:t>
      </w:r>
      <w:r w:rsidRPr="008E0C1D">
        <w:rPr>
          <w:noProof/>
          <w:color w:val="000000" w:themeColor="text1"/>
          <w:sz w:val="24"/>
          <w:szCs w:val="24"/>
        </w:rPr>
        <w:t xml:space="preserve">, Extinction risk from climate change is reduced by microclimatic buffering. </w:t>
      </w:r>
      <w:r w:rsidRPr="008E0C1D">
        <w:rPr>
          <w:i/>
          <w:iCs/>
          <w:noProof/>
          <w:color w:val="000000" w:themeColor="text1"/>
          <w:sz w:val="24"/>
          <w:szCs w:val="24"/>
        </w:rPr>
        <w:t>Nat. Clim. Chang.</w:t>
      </w:r>
      <w:r w:rsidRPr="008E0C1D">
        <w:rPr>
          <w:noProof/>
          <w:color w:val="000000" w:themeColor="text1"/>
          <w:sz w:val="24"/>
          <w:szCs w:val="24"/>
        </w:rPr>
        <w:t xml:space="preserve"> </w:t>
      </w:r>
      <w:r w:rsidRPr="008E0C1D">
        <w:rPr>
          <w:b/>
          <w:bCs/>
          <w:noProof/>
          <w:color w:val="000000" w:themeColor="text1"/>
          <w:sz w:val="24"/>
          <w:szCs w:val="24"/>
        </w:rPr>
        <w:t>8</w:t>
      </w:r>
      <w:r w:rsidRPr="008E0C1D">
        <w:rPr>
          <w:noProof/>
          <w:color w:val="000000" w:themeColor="text1"/>
          <w:sz w:val="24"/>
          <w:szCs w:val="24"/>
        </w:rPr>
        <w:t>, 713–717 (2018).</w:t>
      </w:r>
    </w:p>
    <w:p w14:paraId="6D06AEC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32. </w:t>
      </w:r>
      <w:r w:rsidRPr="008E0C1D">
        <w:rPr>
          <w:noProof/>
          <w:color w:val="000000" w:themeColor="text1"/>
          <w:sz w:val="24"/>
          <w:szCs w:val="24"/>
        </w:rPr>
        <w:tab/>
        <w:t xml:space="preserve">D. Scherrer, C. Körner, Topographically controlled thermal-habitat differentiation buffers alpine plant diversity against climate warming. </w:t>
      </w:r>
      <w:r w:rsidRPr="008E0C1D">
        <w:rPr>
          <w:i/>
          <w:iCs/>
          <w:noProof/>
          <w:color w:val="000000" w:themeColor="text1"/>
          <w:sz w:val="24"/>
          <w:szCs w:val="24"/>
        </w:rPr>
        <w:t>J. Biogeogr.</w:t>
      </w:r>
      <w:r w:rsidRPr="008E0C1D">
        <w:rPr>
          <w:noProof/>
          <w:color w:val="000000" w:themeColor="text1"/>
          <w:sz w:val="24"/>
          <w:szCs w:val="24"/>
        </w:rPr>
        <w:t xml:space="preserve"> </w:t>
      </w:r>
      <w:r w:rsidRPr="008E0C1D">
        <w:rPr>
          <w:b/>
          <w:bCs/>
          <w:noProof/>
          <w:color w:val="000000" w:themeColor="text1"/>
          <w:sz w:val="24"/>
          <w:szCs w:val="24"/>
        </w:rPr>
        <w:t>38</w:t>
      </w:r>
      <w:r w:rsidRPr="008E0C1D">
        <w:rPr>
          <w:noProof/>
          <w:color w:val="000000" w:themeColor="text1"/>
          <w:sz w:val="24"/>
          <w:szCs w:val="24"/>
        </w:rPr>
        <w:t>, 406–416 (2011).</w:t>
      </w:r>
    </w:p>
    <w:p w14:paraId="346C5A2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33. </w:t>
      </w:r>
      <w:r w:rsidRPr="008E0C1D">
        <w:rPr>
          <w:noProof/>
          <w:color w:val="000000" w:themeColor="text1"/>
          <w:sz w:val="24"/>
          <w:szCs w:val="24"/>
        </w:rPr>
        <w:tab/>
        <w:t>M. Lindner</w:t>
      </w:r>
      <w:r w:rsidRPr="008E0C1D">
        <w:rPr>
          <w:i/>
          <w:noProof/>
          <w:color w:val="000000" w:themeColor="text1"/>
          <w:sz w:val="24"/>
          <w:szCs w:val="24"/>
        </w:rPr>
        <w:t xml:space="preserve"> et al.</w:t>
      </w:r>
      <w:r w:rsidRPr="008E0C1D">
        <w:rPr>
          <w:noProof/>
          <w:color w:val="000000" w:themeColor="text1"/>
          <w:sz w:val="24"/>
          <w:szCs w:val="24"/>
        </w:rPr>
        <w:t xml:space="preserve">, Climate change impacts, adaptive capacity, and vulnerability of European forest ecosystems. </w:t>
      </w:r>
      <w:r w:rsidRPr="008E0C1D">
        <w:rPr>
          <w:i/>
          <w:iCs/>
          <w:noProof/>
          <w:color w:val="000000" w:themeColor="text1"/>
          <w:sz w:val="24"/>
          <w:szCs w:val="24"/>
        </w:rPr>
        <w:t>For. Ecol. Manage.</w:t>
      </w:r>
      <w:r w:rsidRPr="008E0C1D">
        <w:rPr>
          <w:noProof/>
          <w:color w:val="000000" w:themeColor="text1"/>
          <w:sz w:val="24"/>
          <w:szCs w:val="24"/>
        </w:rPr>
        <w:t xml:space="preserve"> </w:t>
      </w:r>
      <w:r w:rsidRPr="008E0C1D">
        <w:rPr>
          <w:b/>
          <w:bCs/>
          <w:noProof/>
          <w:color w:val="000000" w:themeColor="text1"/>
          <w:sz w:val="24"/>
          <w:szCs w:val="24"/>
        </w:rPr>
        <w:t>259</w:t>
      </w:r>
      <w:r w:rsidRPr="008E0C1D">
        <w:rPr>
          <w:noProof/>
          <w:color w:val="000000" w:themeColor="text1"/>
          <w:sz w:val="24"/>
          <w:szCs w:val="24"/>
        </w:rPr>
        <w:t>, 698–709 (2010).</w:t>
      </w:r>
    </w:p>
    <w:p w14:paraId="3BCBF4E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34. </w:t>
      </w:r>
      <w:r w:rsidRPr="008E0C1D">
        <w:rPr>
          <w:noProof/>
          <w:color w:val="000000" w:themeColor="text1"/>
          <w:sz w:val="24"/>
          <w:szCs w:val="24"/>
        </w:rPr>
        <w:tab/>
        <w:t xml:space="preserve">S. Gold, A. Korotkov, V. Sasse, The development of European forest resources, 1950 to 2000. </w:t>
      </w:r>
      <w:r w:rsidRPr="008E0C1D">
        <w:rPr>
          <w:i/>
          <w:iCs/>
          <w:noProof/>
          <w:color w:val="000000" w:themeColor="text1"/>
          <w:sz w:val="24"/>
          <w:szCs w:val="24"/>
        </w:rPr>
        <w:t>For. Policy Econ.</w:t>
      </w:r>
      <w:r w:rsidRPr="008E0C1D">
        <w:rPr>
          <w:noProof/>
          <w:color w:val="000000" w:themeColor="text1"/>
          <w:sz w:val="24"/>
          <w:szCs w:val="24"/>
        </w:rPr>
        <w:t xml:space="preserve"> </w:t>
      </w:r>
      <w:r w:rsidRPr="008E0C1D">
        <w:rPr>
          <w:b/>
          <w:bCs/>
          <w:noProof/>
          <w:color w:val="000000" w:themeColor="text1"/>
          <w:sz w:val="24"/>
          <w:szCs w:val="24"/>
        </w:rPr>
        <w:t>8</w:t>
      </w:r>
      <w:r w:rsidRPr="008E0C1D">
        <w:rPr>
          <w:noProof/>
          <w:color w:val="000000" w:themeColor="text1"/>
          <w:sz w:val="24"/>
          <w:szCs w:val="24"/>
        </w:rPr>
        <w:t>, 183–192 (2006).</w:t>
      </w:r>
    </w:p>
    <w:p w14:paraId="1A7FB84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35. </w:t>
      </w:r>
      <w:r w:rsidRPr="008E0C1D">
        <w:rPr>
          <w:noProof/>
          <w:color w:val="000000" w:themeColor="text1"/>
          <w:sz w:val="24"/>
          <w:szCs w:val="24"/>
        </w:rPr>
        <w:tab/>
        <w:t>K. Verheyen</w:t>
      </w:r>
      <w:r w:rsidRPr="008E0C1D">
        <w:rPr>
          <w:i/>
          <w:noProof/>
          <w:color w:val="000000" w:themeColor="text1"/>
          <w:sz w:val="24"/>
          <w:szCs w:val="24"/>
        </w:rPr>
        <w:t xml:space="preserve"> et al.</w:t>
      </w:r>
      <w:r w:rsidRPr="008E0C1D">
        <w:rPr>
          <w:noProof/>
          <w:color w:val="000000" w:themeColor="text1"/>
          <w:sz w:val="24"/>
          <w:szCs w:val="24"/>
        </w:rPr>
        <w:t xml:space="preserve">, Combining biodiversity resurveys across regions to advance global change research. </w:t>
      </w:r>
      <w:r w:rsidRPr="008E0C1D">
        <w:rPr>
          <w:i/>
          <w:iCs/>
          <w:noProof/>
          <w:color w:val="000000" w:themeColor="text1"/>
          <w:sz w:val="24"/>
          <w:szCs w:val="24"/>
        </w:rPr>
        <w:t>Bioscience</w:t>
      </w:r>
      <w:r w:rsidRPr="008E0C1D">
        <w:rPr>
          <w:noProof/>
          <w:color w:val="000000" w:themeColor="text1"/>
          <w:sz w:val="24"/>
          <w:szCs w:val="24"/>
        </w:rPr>
        <w:t xml:space="preserve">. </w:t>
      </w:r>
      <w:r w:rsidRPr="008E0C1D">
        <w:rPr>
          <w:b/>
          <w:bCs/>
          <w:noProof/>
          <w:color w:val="000000" w:themeColor="text1"/>
          <w:sz w:val="24"/>
          <w:szCs w:val="24"/>
        </w:rPr>
        <w:t>67</w:t>
      </w:r>
      <w:r w:rsidRPr="008E0C1D">
        <w:rPr>
          <w:noProof/>
          <w:color w:val="000000" w:themeColor="text1"/>
          <w:sz w:val="24"/>
          <w:szCs w:val="24"/>
        </w:rPr>
        <w:t>, 73–83 (2017).</w:t>
      </w:r>
    </w:p>
    <w:p w14:paraId="30CD84FD"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36. </w:t>
      </w:r>
      <w:r w:rsidRPr="008E0C1D">
        <w:rPr>
          <w:noProof/>
          <w:color w:val="000000" w:themeColor="text1"/>
          <w:sz w:val="24"/>
          <w:szCs w:val="24"/>
        </w:rPr>
        <w:tab/>
        <w:t xml:space="preserve">M. Hermy, O. Honnay, L. Firbank, C. Grashof-Bokdam, J. E. Lawesson, An ecological comparison between ancient and other forest plant species of Europe, and the implications for forest conservation. </w:t>
      </w:r>
      <w:r w:rsidRPr="008E0C1D">
        <w:rPr>
          <w:i/>
          <w:iCs/>
          <w:noProof/>
          <w:color w:val="000000" w:themeColor="text1"/>
          <w:sz w:val="24"/>
          <w:szCs w:val="24"/>
        </w:rPr>
        <w:t>Biol. Conserv.</w:t>
      </w:r>
      <w:r w:rsidRPr="008E0C1D">
        <w:rPr>
          <w:noProof/>
          <w:color w:val="000000" w:themeColor="text1"/>
          <w:sz w:val="24"/>
          <w:szCs w:val="24"/>
        </w:rPr>
        <w:t xml:space="preserve"> </w:t>
      </w:r>
      <w:r w:rsidRPr="008E0C1D">
        <w:rPr>
          <w:b/>
          <w:bCs/>
          <w:noProof/>
          <w:color w:val="000000" w:themeColor="text1"/>
          <w:sz w:val="24"/>
          <w:szCs w:val="24"/>
        </w:rPr>
        <w:t>91</w:t>
      </w:r>
      <w:r w:rsidRPr="008E0C1D">
        <w:rPr>
          <w:noProof/>
          <w:color w:val="000000" w:themeColor="text1"/>
          <w:sz w:val="24"/>
          <w:szCs w:val="24"/>
        </w:rPr>
        <w:t>, 9–22 (1999).</w:t>
      </w:r>
    </w:p>
    <w:p w14:paraId="5773A7C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37. </w:t>
      </w:r>
      <w:r w:rsidRPr="008E0C1D">
        <w:rPr>
          <w:noProof/>
          <w:color w:val="000000" w:themeColor="text1"/>
          <w:sz w:val="24"/>
          <w:szCs w:val="24"/>
        </w:rPr>
        <w:tab/>
        <w:t>FAO, “Food and Agricultural Organization of the United Nations. Global Forest Resources Assessment (Rome, 2015)” (2015), (available at internal-pdf://57.13.130.56/FAO-2015.pdf).</w:t>
      </w:r>
    </w:p>
    <w:p w14:paraId="0AF8CDF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38. </w:t>
      </w:r>
      <w:r w:rsidRPr="008E0C1D">
        <w:rPr>
          <w:noProof/>
          <w:color w:val="000000" w:themeColor="text1"/>
          <w:sz w:val="24"/>
          <w:szCs w:val="24"/>
        </w:rPr>
        <w:tab/>
        <w:t>M. Bernhardt-Romermann</w:t>
      </w:r>
      <w:r w:rsidRPr="008E0C1D">
        <w:rPr>
          <w:i/>
          <w:noProof/>
          <w:color w:val="000000" w:themeColor="text1"/>
          <w:sz w:val="24"/>
          <w:szCs w:val="24"/>
        </w:rPr>
        <w:t xml:space="preserve"> et al.</w:t>
      </w:r>
      <w:r w:rsidRPr="008E0C1D">
        <w:rPr>
          <w:noProof/>
          <w:color w:val="000000" w:themeColor="text1"/>
          <w:sz w:val="24"/>
          <w:szCs w:val="24"/>
        </w:rPr>
        <w:t xml:space="preserve">, Drivers of temporal changes in temperate forest plant diversity vary across spatial scales.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21</w:t>
      </w:r>
      <w:r w:rsidRPr="008E0C1D">
        <w:rPr>
          <w:noProof/>
          <w:color w:val="000000" w:themeColor="text1"/>
          <w:sz w:val="24"/>
          <w:szCs w:val="24"/>
        </w:rPr>
        <w:t>, 3726–3737 (2015).</w:t>
      </w:r>
    </w:p>
    <w:p w14:paraId="060277EB"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39. </w:t>
      </w:r>
      <w:r w:rsidRPr="008E0C1D">
        <w:rPr>
          <w:noProof/>
          <w:color w:val="000000" w:themeColor="text1"/>
          <w:sz w:val="24"/>
          <w:szCs w:val="24"/>
        </w:rPr>
        <w:tab/>
        <w:t>M. P. Perring</w:t>
      </w:r>
      <w:r w:rsidRPr="008E0C1D">
        <w:rPr>
          <w:i/>
          <w:noProof/>
          <w:color w:val="000000" w:themeColor="text1"/>
          <w:sz w:val="24"/>
          <w:szCs w:val="24"/>
        </w:rPr>
        <w:t xml:space="preserve"> et al.</w:t>
      </w:r>
      <w:r w:rsidRPr="008E0C1D">
        <w:rPr>
          <w:noProof/>
          <w:color w:val="000000" w:themeColor="text1"/>
          <w:sz w:val="24"/>
          <w:szCs w:val="24"/>
        </w:rPr>
        <w:t xml:space="preserve">, Global environmental change effects on plant community composition trajectories depend upon management legacies. </w:t>
      </w:r>
      <w:r w:rsidRPr="008E0C1D">
        <w:rPr>
          <w:i/>
          <w:iCs/>
          <w:noProof/>
          <w:color w:val="000000" w:themeColor="text1"/>
          <w:sz w:val="24"/>
          <w:szCs w:val="24"/>
        </w:rPr>
        <w:t>Glob. Chang. Biol.</w:t>
      </w:r>
      <w:r w:rsidRPr="008E0C1D">
        <w:rPr>
          <w:noProof/>
          <w:color w:val="000000" w:themeColor="text1"/>
          <w:sz w:val="24"/>
          <w:szCs w:val="24"/>
        </w:rPr>
        <w:t xml:space="preserve"> </w:t>
      </w:r>
      <w:r w:rsidRPr="008E0C1D">
        <w:rPr>
          <w:b/>
          <w:bCs/>
          <w:noProof/>
          <w:color w:val="000000" w:themeColor="text1"/>
          <w:sz w:val="24"/>
          <w:szCs w:val="24"/>
        </w:rPr>
        <w:t>24</w:t>
      </w:r>
      <w:r w:rsidRPr="008E0C1D">
        <w:rPr>
          <w:noProof/>
          <w:color w:val="000000" w:themeColor="text1"/>
          <w:sz w:val="24"/>
          <w:szCs w:val="24"/>
        </w:rPr>
        <w:t>, 1722–1740 (2018).</w:t>
      </w:r>
    </w:p>
    <w:p w14:paraId="27BF172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40. </w:t>
      </w:r>
      <w:r w:rsidRPr="008E0C1D">
        <w:rPr>
          <w:noProof/>
          <w:color w:val="000000" w:themeColor="text1"/>
          <w:sz w:val="24"/>
          <w:szCs w:val="24"/>
        </w:rPr>
        <w:tab/>
        <w:t xml:space="preserve">J. T. Abatzoglou, S. Z. Dobrowski, S. A. Parks, K. C. Hegewisch, TerraClimate, a high-resolution global dataset of monthly climate and climatic water balance from 1958–2015. </w:t>
      </w:r>
      <w:r w:rsidRPr="008E0C1D">
        <w:rPr>
          <w:i/>
          <w:iCs/>
          <w:noProof/>
          <w:color w:val="000000" w:themeColor="text1"/>
          <w:sz w:val="24"/>
          <w:szCs w:val="24"/>
        </w:rPr>
        <w:t>Sci. Data</w:t>
      </w:r>
      <w:r w:rsidRPr="008E0C1D">
        <w:rPr>
          <w:noProof/>
          <w:color w:val="000000" w:themeColor="text1"/>
          <w:sz w:val="24"/>
          <w:szCs w:val="24"/>
        </w:rPr>
        <w:t xml:space="preserve">. </w:t>
      </w:r>
      <w:r w:rsidRPr="008E0C1D">
        <w:rPr>
          <w:b/>
          <w:bCs/>
          <w:noProof/>
          <w:color w:val="000000" w:themeColor="text1"/>
          <w:sz w:val="24"/>
          <w:szCs w:val="24"/>
        </w:rPr>
        <w:t>5</w:t>
      </w:r>
      <w:r w:rsidRPr="008E0C1D">
        <w:rPr>
          <w:noProof/>
          <w:color w:val="000000" w:themeColor="text1"/>
          <w:sz w:val="24"/>
          <w:szCs w:val="24"/>
        </w:rPr>
        <w:t>, 170191 (2018).</w:t>
      </w:r>
    </w:p>
    <w:p w14:paraId="68E860D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41. </w:t>
      </w:r>
      <w:r w:rsidRPr="008E0C1D">
        <w:rPr>
          <w:noProof/>
          <w:color w:val="000000" w:themeColor="text1"/>
          <w:sz w:val="24"/>
          <w:szCs w:val="24"/>
        </w:rPr>
        <w:tab/>
        <w:t xml:space="preserve">I. Harris, P. D. Jones, T. J. Osborn, D. H. Lister, Updated high-resolution grids of monthly climatic observations - the CRU TS3.10 Dataset. </w:t>
      </w:r>
      <w:r w:rsidRPr="008E0C1D">
        <w:rPr>
          <w:i/>
          <w:iCs/>
          <w:noProof/>
          <w:color w:val="000000" w:themeColor="text1"/>
          <w:sz w:val="24"/>
          <w:szCs w:val="24"/>
        </w:rPr>
        <w:t>Int. J. Climatol.</w:t>
      </w:r>
      <w:r w:rsidRPr="008E0C1D">
        <w:rPr>
          <w:noProof/>
          <w:color w:val="000000" w:themeColor="text1"/>
          <w:sz w:val="24"/>
          <w:szCs w:val="24"/>
        </w:rPr>
        <w:t xml:space="preserve"> </w:t>
      </w:r>
      <w:r w:rsidRPr="008E0C1D">
        <w:rPr>
          <w:b/>
          <w:bCs/>
          <w:noProof/>
          <w:color w:val="000000" w:themeColor="text1"/>
          <w:sz w:val="24"/>
          <w:szCs w:val="24"/>
        </w:rPr>
        <w:t>34</w:t>
      </w:r>
      <w:r w:rsidRPr="008E0C1D">
        <w:rPr>
          <w:noProof/>
          <w:color w:val="000000" w:themeColor="text1"/>
          <w:sz w:val="24"/>
          <w:szCs w:val="24"/>
        </w:rPr>
        <w:t>, 623–642 (2014).</w:t>
      </w:r>
    </w:p>
    <w:p w14:paraId="35D866AF"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42. </w:t>
      </w:r>
      <w:r w:rsidRPr="008E0C1D">
        <w:rPr>
          <w:noProof/>
          <w:color w:val="000000" w:themeColor="text1"/>
          <w:sz w:val="24"/>
          <w:szCs w:val="24"/>
        </w:rPr>
        <w:tab/>
        <w:t>D. R. Roberts</w:t>
      </w:r>
      <w:r w:rsidRPr="008E0C1D">
        <w:rPr>
          <w:i/>
          <w:noProof/>
          <w:color w:val="000000" w:themeColor="text1"/>
          <w:sz w:val="24"/>
          <w:szCs w:val="24"/>
        </w:rPr>
        <w:t xml:space="preserve"> et al.</w:t>
      </w:r>
      <w:r w:rsidRPr="008E0C1D">
        <w:rPr>
          <w:noProof/>
          <w:color w:val="000000" w:themeColor="text1"/>
          <w:sz w:val="24"/>
          <w:szCs w:val="24"/>
        </w:rPr>
        <w:t xml:space="preserve">, Cross-validation strategies for data with temporal, spatial, hierarchical, or phylogenetic structure. </w:t>
      </w:r>
      <w:r w:rsidRPr="008E0C1D">
        <w:rPr>
          <w:i/>
          <w:iCs/>
          <w:noProof/>
          <w:color w:val="000000" w:themeColor="text1"/>
          <w:sz w:val="24"/>
          <w:szCs w:val="24"/>
        </w:rPr>
        <w:t>Ecography.</w:t>
      </w:r>
      <w:r w:rsidRPr="008E0C1D">
        <w:rPr>
          <w:noProof/>
          <w:color w:val="000000" w:themeColor="text1"/>
          <w:sz w:val="24"/>
          <w:szCs w:val="24"/>
        </w:rPr>
        <w:t xml:space="preserve"> </w:t>
      </w:r>
      <w:r w:rsidRPr="008E0C1D">
        <w:rPr>
          <w:b/>
          <w:bCs/>
          <w:noProof/>
          <w:color w:val="000000" w:themeColor="text1"/>
          <w:sz w:val="24"/>
          <w:szCs w:val="24"/>
        </w:rPr>
        <w:t>40</w:t>
      </w:r>
      <w:r w:rsidRPr="008E0C1D">
        <w:rPr>
          <w:noProof/>
          <w:color w:val="000000" w:themeColor="text1"/>
          <w:sz w:val="24"/>
          <w:szCs w:val="24"/>
        </w:rPr>
        <w:t>, 913–929 (2017).</w:t>
      </w:r>
    </w:p>
    <w:p w14:paraId="49E81919"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43. </w:t>
      </w:r>
      <w:r w:rsidRPr="008E0C1D">
        <w:rPr>
          <w:noProof/>
          <w:color w:val="000000" w:themeColor="text1"/>
          <w:sz w:val="24"/>
          <w:szCs w:val="24"/>
        </w:rPr>
        <w:tab/>
        <w:t xml:space="preserve">M. Macek, M. Kopecký, J. Wild, Maximum air temperature controlled by landscape topography affects plant species composition in temperate forests. </w:t>
      </w:r>
      <w:r w:rsidRPr="008E0C1D">
        <w:rPr>
          <w:i/>
          <w:iCs/>
          <w:noProof/>
          <w:color w:val="000000" w:themeColor="text1"/>
          <w:sz w:val="24"/>
          <w:szCs w:val="24"/>
        </w:rPr>
        <w:t>Landsc. Ecol.</w:t>
      </w:r>
      <w:r w:rsidRPr="008E0C1D">
        <w:rPr>
          <w:noProof/>
          <w:color w:val="000000" w:themeColor="text1"/>
          <w:sz w:val="24"/>
          <w:szCs w:val="24"/>
        </w:rPr>
        <w:t xml:space="preserve"> </w:t>
      </w:r>
      <w:r w:rsidRPr="008E0C1D">
        <w:rPr>
          <w:b/>
          <w:bCs/>
          <w:noProof/>
          <w:color w:val="000000" w:themeColor="text1"/>
          <w:sz w:val="24"/>
          <w:szCs w:val="24"/>
        </w:rPr>
        <w:t>34</w:t>
      </w:r>
      <w:r w:rsidRPr="008E0C1D">
        <w:rPr>
          <w:noProof/>
          <w:color w:val="000000" w:themeColor="text1"/>
          <w:sz w:val="24"/>
          <w:szCs w:val="24"/>
        </w:rPr>
        <w:t>, 2541–2556 (2019).</w:t>
      </w:r>
    </w:p>
    <w:p w14:paraId="68179F88"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44. </w:t>
      </w:r>
      <w:r w:rsidRPr="008E0C1D">
        <w:rPr>
          <w:noProof/>
          <w:color w:val="000000" w:themeColor="text1"/>
          <w:sz w:val="24"/>
          <w:szCs w:val="24"/>
        </w:rPr>
        <w:tab/>
        <w:t xml:space="preserve">C. Körner, E. Hiltbrunner, The 90 ways to describe plant temperature. </w:t>
      </w:r>
      <w:r w:rsidRPr="008E0C1D">
        <w:rPr>
          <w:i/>
          <w:iCs/>
          <w:noProof/>
          <w:color w:val="000000" w:themeColor="text1"/>
          <w:sz w:val="24"/>
          <w:szCs w:val="24"/>
        </w:rPr>
        <w:t>Perspect. Plant Ecol. Evol. Syst.</w:t>
      </w:r>
      <w:r w:rsidRPr="008E0C1D">
        <w:rPr>
          <w:noProof/>
          <w:color w:val="000000" w:themeColor="text1"/>
          <w:sz w:val="24"/>
          <w:szCs w:val="24"/>
        </w:rPr>
        <w:t xml:space="preserve"> </w:t>
      </w:r>
      <w:r w:rsidRPr="008E0C1D">
        <w:rPr>
          <w:b/>
          <w:bCs/>
          <w:noProof/>
          <w:color w:val="000000" w:themeColor="text1"/>
          <w:sz w:val="24"/>
          <w:szCs w:val="24"/>
        </w:rPr>
        <w:t>30</w:t>
      </w:r>
      <w:r w:rsidRPr="008E0C1D">
        <w:rPr>
          <w:noProof/>
          <w:color w:val="000000" w:themeColor="text1"/>
          <w:sz w:val="24"/>
          <w:szCs w:val="24"/>
        </w:rPr>
        <w:t>, 16–21 (2018).</w:t>
      </w:r>
    </w:p>
    <w:p w14:paraId="6D50213C"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45. </w:t>
      </w:r>
      <w:r w:rsidRPr="008E0C1D">
        <w:rPr>
          <w:noProof/>
          <w:color w:val="000000" w:themeColor="text1"/>
          <w:sz w:val="24"/>
          <w:szCs w:val="24"/>
        </w:rPr>
        <w:tab/>
        <w:t>J. J. Lembrechts</w:t>
      </w:r>
      <w:r w:rsidRPr="008E0C1D">
        <w:rPr>
          <w:i/>
          <w:noProof/>
          <w:color w:val="000000" w:themeColor="text1"/>
          <w:sz w:val="24"/>
          <w:szCs w:val="24"/>
        </w:rPr>
        <w:t xml:space="preserve"> et al.</w:t>
      </w:r>
      <w:r w:rsidRPr="008E0C1D">
        <w:rPr>
          <w:noProof/>
          <w:color w:val="000000" w:themeColor="text1"/>
          <w:sz w:val="24"/>
          <w:szCs w:val="24"/>
        </w:rPr>
        <w:t>,</w:t>
      </w:r>
      <w:r w:rsidRPr="008E0C1D">
        <w:rPr>
          <w:color w:val="000000" w:themeColor="text1"/>
          <w:sz w:val="24"/>
          <w:szCs w:val="24"/>
        </w:rPr>
        <w:t xml:space="preserve"> Comparing temperature data sources for use in species distribution models: From in</w:t>
      </w:r>
      <w:r w:rsidRPr="008E0C1D">
        <w:rPr>
          <w:rFonts w:ascii="Cambria Math" w:hAnsi="Cambria Math" w:cs="Cambria Math"/>
          <w:color w:val="000000" w:themeColor="text1"/>
          <w:sz w:val="24"/>
          <w:szCs w:val="24"/>
        </w:rPr>
        <w:t>‐</w:t>
      </w:r>
      <w:r w:rsidRPr="008E0C1D">
        <w:rPr>
          <w:color w:val="000000" w:themeColor="text1"/>
          <w:sz w:val="24"/>
          <w:szCs w:val="24"/>
        </w:rPr>
        <w:t>situ logging to remote sensing.</w:t>
      </w:r>
      <w:r w:rsidRPr="008E0C1D">
        <w:rPr>
          <w:noProof/>
          <w:color w:val="000000" w:themeColor="text1"/>
          <w:sz w:val="24"/>
          <w:szCs w:val="24"/>
        </w:rPr>
        <w:t xml:space="preserve"> </w:t>
      </w:r>
      <w:r w:rsidRPr="008E0C1D">
        <w:rPr>
          <w:i/>
          <w:iCs/>
          <w:noProof/>
          <w:color w:val="000000" w:themeColor="text1"/>
          <w:sz w:val="24"/>
          <w:szCs w:val="24"/>
        </w:rPr>
        <w:t>Glob. Ecol. Biogeogr.</w:t>
      </w:r>
      <w:r w:rsidRPr="008E0C1D">
        <w:rPr>
          <w:noProof/>
          <w:color w:val="000000" w:themeColor="text1"/>
          <w:sz w:val="24"/>
          <w:szCs w:val="24"/>
        </w:rPr>
        <w:t>, in press, doi:10.1111/geb.12974.</w:t>
      </w:r>
    </w:p>
    <w:p w14:paraId="3617EC2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46. </w:t>
      </w:r>
      <w:r w:rsidRPr="008E0C1D">
        <w:rPr>
          <w:noProof/>
          <w:color w:val="000000" w:themeColor="text1"/>
          <w:sz w:val="24"/>
          <w:szCs w:val="24"/>
        </w:rPr>
        <w:tab/>
        <w:t xml:space="preserve">I. M. D. Maclean, J. R. Mosedale, J. J. Bennie, Microclima: an R package for modelling meso- and microclimate. </w:t>
      </w:r>
      <w:r w:rsidRPr="008E0C1D">
        <w:rPr>
          <w:i/>
          <w:iCs/>
          <w:noProof/>
          <w:color w:val="000000" w:themeColor="text1"/>
          <w:sz w:val="24"/>
          <w:szCs w:val="24"/>
        </w:rPr>
        <w:t>Methods Ecol. Evol.</w:t>
      </w:r>
      <w:r w:rsidRPr="008E0C1D">
        <w:rPr>
          <w:noProof/>
          <w:color w:val="000000" w:themeColor="text1"/>
          <w:sz w:val="24"/>
          <w:szCs w:val="24"/>
        </w:rPr>
        <w:t xml:space="preserve"> </w:t>
      </w:r>
      <w:r w:rsidRPr="008E0C1D">
        <w:rPr>
          <w:b/>
          <w:bCs/>
          <w:noProof/>
          <w:color w:val="000000" w:themeColor="text1"/>
          <w:sz w:val="24"/>
          <w:szCs w:val="24"/>
        </w:rPr>
        <w:t>10</w:t>
      </w:r>
      <w:r w:rsidRPr="008E0C1D">
        <w:rPr>
          <w:noProof/>
          <w:color w:val="000000" w:themeColor="text1"/>
          <w:sz w:val="24"/>
          <w:szCs w:val="24"/>
        </w:rPr>
        <w:t>, 280–290 (2018).</w:t>
      </w:r>
    </w:p>
    <w:p w14:paraId="4ECBDA5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47. </w:t>
      </w:r>
      <w:r w:rsidRPr="008E0C1D">
        <w:rPr>
          <w:noProof/>
          <w:color w:val="000000" w:themeColor="text1"/>
          <w:sz w:val="24"/>
          <w:szCs w:val="24"/>
        </w:rPr>
        <w:tab/>
        <w:t xml:space="preserve">S. E. Fick, R. J. Hijmans, WorldClim 2: new 1-km spatial resolution climate surfaces for global land areas. </w:t>
      </w:r>
      <w:r w:rsidRPr="008E0C1D">
        <w:rPr>
          <w:i/>
          <w:iCs/>
          <w:noProof/>
          <w:color w:val="000000" w:themeColor="text1"/>
          <w:sz w:val="24"/>
          <w:szCs w:val="24"/>
        </w:rPr>
        <w:t>Int. J. Climatol.</w:t>
      </w:r>
      <w:r w:rsidRPr="008E0C1D">
        <w:rPr>
          <w:noProof/>
          <w:color w:val="000000" w:themeColor="text1"/>
          <w:sz w:val="24"/>
          <w:szCs w:val="24"/>
        </w:rPr>
        <w:t xml:space="preserve"> </w:t>
      </w:r>
      <w:r w:rsidRPr="008E0C1D">
        <w:rPr>
          <w:b/>
          <w:bCs/>
          <w:noProof/>
          <w:color w:val="000000" w:themeColor="text1"/>
          <w:sz w:val="24"/>
          <w:szCs w:val="24"/>
        </w:rPr>
        <w:t>37</w:t>
      </w:r>
      <w:r w:rsidRPr="008E0C1D">
        <w:rPr>
          <w:noProof/>
          <w:color w:val="000000" w:themeColor="text1"/>
          <w:sz w:val="24"/>
          <w:szCs w:val="24"/>
        </w:rPr>
        <w:t xml:space="preserve"> (2017), doi:10.1002/joc.5086.</w:t>
      </w:r>
    </w:p>
    <w:p w14:paraId="7D849964"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48. </w:t>
      </w:r>
      <w:r w:rsidRPr="008E0C1D">
        <w:rPr>
          <w:noProof/>
          <w:color w:val="000000" w:themeColor="text1"/>
          <w:sz w:val="24"/>
          <w:szCs w:val="24"/>
        </w:rPr>
        <w:tab/>
        <w:t xml:space="preserve">E. Hultén, M. Fries, </w:t>
      </w:r>
      <w:r w:rsidRPr="008E0C1D">
        <w:rPr>
          <w:i/>
          <w:iCs/>
          <w:noProof/>
          <w:color w:val="000000" w:themeColor="text1"/>
          <w:sz w:val="24"/>
          <w:szCs w:val="24"/>
        </w:rPr>
        <w:t xml:space="preserve">Atlas of North European Vascular Plants: North of the Tropic of </w:t>
      </w:r>
      <w:r w:rsidRPr="008E0C1D">
        <w:rPr>
          <w:i/>
          <w:iCs/>
          <w:noProof/>
          <w:color w:val="000000" w:themeColor="text1"/>
          <w:sz w:val="24"/>
          <w:szCs w:val="24"/>
        </w:rPr>
        <w:lastRenderedPageBreak/>
        <w:t>Cancer</w:t>
      </w:r>
      <w:r w:rsidRPr="008E0C1D">
        <w:rPr>
          <w:noProof/>
          <w:color w:val="000000" w:themeColor="text1"/>
          <w:sz w:val="24"/>
          <w:szCs w:val="24"/>
        </w:rPr>
        <w:t xml:space="preserve"> (Koeltz Scientific, Königstein, Germany, 1986).</w:t>
      </w:r>
    </w:p>
    <w:p w14:paraId="62FD8457"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49. </w:t>
      </w:r>
      <w:r w:rsidRPr="008E0C1D">
        <w:rPr>
          <w:noProof/>
          <w:color w:val="000000" w:themeColor="text1"/>
          <w:sz w:val="24"/>
          <w:szCs w:val="24"/>
        </w:rPr>
        <w:tab/>
        <w:t xml:space="preserve">H. Meusel, E. Jäger, </w:t>
      </w:r>
      <w:r w:rsidRPr="008E0C1D">
        <w:rPr>
          <w:i/>
          <w:iCs/>
          <w:noProof/>
          <w:color w:val="000000" w:themeColor="text1"/>
          <w:sz w:val="24"/>
          <w:szCs w:val="24"/>
        </w:rPr>
        <w:t>Comparative Chorology of the Central European Flora</w:t>
      </w:r>
      <w:r w:rsidRPr="008E0C1D">
        <w:rPr>
          <w:noProof/>
          <w:color w:val="000000" w:themeColor="text1"/>
          <w:sz w:val="24"/>
          <w:szCs w:val="24"/>
        </w:rPr>
        <w:t xml:space="preserve"> (Fischer, Jena, Germany, 2011).</w:t>
      </w:r>
    </w:p>
    <w:p w14:paraId="32CAF6EA"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50. </w:t>
      </w:r>
      <w:r w:rsidRPr="008E0C1D">
        <w:rPr>
          <w:noProof/>
          <w:color w:val="000000" w:themeColor="text1"/>
          <w:sz w:val="24"/>
          <w:szCs w:val="24"/>
        </w:rPr>
        <w:tab/>
        <w:t xml:space="preserve">F. Rodríguez-Sánchez, P. De Frenne, A. Hampe, Uncertainty in thermal tolerances and climatic debt. </w:t>
      </w:r>
      <w:r w:rsidRPr="008E0C1D">
        <w:rPr>
          <w:i/>
          <w:iCs/>
          <w:noProof/>
          <w:color w:val="000000" w:themeColor="text1"/>
          <w:sz w:val="24"/>
          <w:szCs w:val="24"/>
        </w:rPr>
        <w:t>Nat. Clim. Chang.</w:t>
      </w:r>
      <w:r w:rsidRPr="008E0C1D">
        <w:rPr>
          <w:noProof/>
          <w:color w:val="000000" w:themeColor="text1"/>
          <w:sz w:val="24"/>
          <w:szCs w:val="24"/>
        </w:rPr>
        <w:t xml:space="preserve"> </w:t>
      </w:r>
      <w:r w:rsidRPr="008E0C1D">
        <w:rPr>
          <w:b/>
          <w:bCs/>
          <w:noProof/>
          <w:color w:val="000000" w:themeColor="text1"/>
          <w:sz w:val="24"/>
          <w:szCs w:val="24"/>
        </w:rPr>
        <w:t>2</w:t>
      </w:r>
      <w:r w:rsidRPr="008E0C1D">
        <w:rPr>
          <w:noProof/>
          <w:color w:val="000000" w:themeColor="text1"/>
          <w:sz w:val="24"/>
          <w:szCs w:val="24"/>
        </w:rPr>
        <w:t xml:space="preserve"> (2012), doi:10.1038/.</w:t>
      </w:r>
    </w:p>
    <w:p w14:paraId="2F6F4BC5"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51. </w:t>
      </w:r>
      <w:r w:rsidRPr="008E0C1D">
        <w:rPr>
          <w:noProof/>
          <w:color w:val="000000" w:themeColor="text1"/>
          <w:sz w:val="24"/>
          <w:szCs w:val="24"/>
        </w:rPr>
        <w:tab/>
        <w:t xml:space="preserve">J. C. Svenning, B. Sandel, Disequilibrium vegetation dynamics under future climate change. </w:t>
      </w:r>
      <w:r w:rsidRPr="008E0C1D">
        <w:rPr>
          <w:i/>
          <w:iCs/>
          <w:noProof/>
          <w:color w:val="000000" w:themeColor="text1"/>
          <w:sz w:val="24"/>
          <w:szCs w:val="24"/>
        </w:rPr>
        <w:t>Am. J. Bot.</w:t>
      </w:r>
      <w:r w:rsidRPr="008E0C1D">
        <w:rPr>
          <w:noProof/>
          <w:color w:val="000000" w:themeColor="text1"/>
          <w:sz w:val="24"/>
          <w:szCs w:val="24"/>
        </w:rPr>
        <w:t xml:space="preserve"> </w:t>
      </w:r>
      <w:r w:rsidRPr="008E0C1D">
        <w:rPr>
          <w:b/>
          <w:bCs/>
          <w:noProof/>
          <w:color w:val="000000" w:themeColor="text1"/>
          <w:sz w:val="24"/>
          <w:szCs w:val="24"/>
        </w:rPr>
        <w:t>100</w:t>
      </w:r>
      <w:r w:rsidRPr="008E0C1D">
        <w:rPr>
          <w:noProof/>
          <w:color w:val="000000" w:themeColor="text1"/>
          <w:sz w:val="24"/>
          <w:szCs w:val="24"/>
        </w:rPr>
        <w:t>, 1266–1286 (2013).</w:t>
      </w:r>
    </w:p>
    <w:p w14:paraId="5BBA9975"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52. </w:t>
      </w:r>
      <w:r w:rsidRPr="008E0C1D">
        <w:rPr>
          <w:noProof/>
          <w:color w:val="000000" w:themeColor="text1"/>
          <w:sz w:val="24"/>
          <w:szCs w:val="24"/>
        </w:rPr>
        <w:tab/>
        <w:t xml:space="preserve">D. Bates, M. Mächler, B. Bolker, S. Walker, Fitting Linear Mixed-Effects Models Using lme4. </w:t>
      </w:r>
      <w:r w:rsidRPr="008E0C1D">
        <w:rPr>
          <w:i/>
          <w:iCs/>
          <w:noProof/>
          <w:color w:val="000000" w:themeColor="text1"/>
          <w:sz w:val="24"/>
          <w:szCs w:val="24"/>
        </w:rPr>
        <w:t>J. Stat. Softw.</w:t>
      </w:r>
      <w:r w:rsidRPr="008E0C1D">
        <w:rPr>
          <w:noProof/>
          <w:color w:val="000000" w:themeColor="text1"/>
          <w:sz w:val="24"/>
          <w:szCs w:val="24"/>
        </w:rPr>
        <w:t xml:space="preserve"> </w:t>
      </w:r>
      <w:r w:rsidRPr="008E0C1D">
        <w:rPr>
          <w:b/>
          <w:bCs/>
          <w:noProof/>
          <w:color w:val="000000" w:themeColor="text1"/>
          <w:sz w:val="24"/>
          <w:szCs w:val="24"/>
        </w:rPr>
        <w:t>67</w:t>
      </w:r>
      <w:r w:rsidRPr="008E0C1D">
        <w:rPr>
          <w:noProof/>
          <w:color w:val="000000" w:themeColor="text1"/>
          <w:sz w:val="24"/>
          <w:szCs w:val="24"/>
        </w:rPr>
        <w:t xml:space="preserve"> (2015) (available at https://www.jstatsoft.org/v067/i01).</w:t>
      </w:r>
    </w:p>
    <w:p w14:paraId="209E15FE"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53. </w:t>
      </w:r>
      <w:r w:rsidRPr="008E0C1D">
        <w:rPr>
          <w:noProof/>
          <w:color w:val="000000" w:themeColor="text1"/>
          <w:sz w:val="24"/>
          <w:szCs w:val="24"/>
        </w:rPr>
        <w:tab/>
        <w:t xml:space="preserve">A. F. Zuur, E. N. Ieno, N. J. Walker, A. A. Saveliev, G. M. Smith, </w:t>
      </w:r>
      <w:r w:rsidRPr="008E0C1D">
        <w:rPr>
          <w:i/>
          <w:iCs/>
          <w:noProof/>
          <w:color w:val="000000" w:themeColor="text1"/>
          <w:sz w:val="24"/>
          <w:szCs w:val="24"/>
        </w:rPr>
        <w:t>Mixed Effects Models and Extensions in Ecology with R</w:t>
      </w:r>
      <w:r w:rsidRPr="008E0C1D">
        <w:rPr>
          <w:noProof/>
          <w:color w:val="000000" w:themeColor="text1"/>
          <w:sz w:val="24"/>
          <w:szCs w:val="24"/>
        </w:rPr>
        <w:t xml:space="preserve"> (Springer, New York, 2009).</w:t>
      </w:r>
    </w:p>
    <w:p w14:paraId="6BBE67BE"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54. </w:t>
      </w:r>
      <w:r w:rsidRPr="008E0C1D">
        <w:rPr>
          <w:noProof/>
          <w:color w:val="000000" w:themeColor="text1"/>
          <w:sz w:val="24"/>
          <w:szCs w:val="24"/>
        </w:rPr>
        <w:tab/>
        <w:t xml:space="preserve">S. Nakagawa, H. Schielzeth, A general and simple method for obtaining R2 from generalized linear mixed-effects models. </w:t>
      </w:r>
      <w:r w:rsidRPr="008E0C1D">
        <w:rPr>
          <w:i/>
          <w:iCs/>
          <w:noProof/>
          <w:color w:val="000000" w:themeColor="text1"/>
          <w:sz w:val="24"/>
          <w:szCs w:val="24"/>
        </w:rPr>
        <w:t>Methods Ecol. Evol.</w:t>
      </w:r>
      <w:r w:rsidRPr="008E0C1D">
        <w:rPr>
          <w:noProof/>
          <w:color w:val="000000" w:themeColor="text1"/>
          <w:sz w:val="24"/>
          <w:szCs w:val="24"/>
        </w:rPr>
        <w:t xml:space="preserve"> </w:t>
      </w:r>
      <w:r w:rsidRPr="008E0C1D">
        <w:rPr>
          <w:b/>
          <w:bCs/>
          <w:noProof/>
          <w:color w:val="000000" w:themeColor="text1"/>
          <w:sz w:val="24"/>
          <w:szCs w:val="24"/>
        </w:rPr>
        <w:t>4</w:t>
      </w:r>
      <w:r w:rsidRPr="008E0C1D">
        <w:rPr>
          <w:noProof/>
          <w:color w:val="000000" w:themeColor="text1"/>
          <w:sz w:val="24"/>
          <w:szCs w:val="24"/>
        </w:rPr>
        <w:t>, 133–142 (2012).</w:t>
      </w:r>
    </w:p>
    <w:p w14:paraId="029EE641"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55. </w:t>
      </w:r>
      <w:r w:rsidRPr="008E0C1D">
        <w:rPr>
          <w:noProof/>
          <w:color w:val="000000" w:themeColor="text1"/>
          <w:sz w:val="24"/>
          <w:szCs w:val="24"/>
        </w:rPr>
        <w:tab/>
        <w:t>K. Barton, MuMIn: Multi-Model Inference. R package version 1.40.4 (2018), (available at https://cran.r-project.org/package=MuMIn).</w:t>
      </w:r>
    </w:p>
    <w:p w14:paraId="24F3F367"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56. </w:t>
      </w:r>
      <w:r w:rsidRPr="008E0C1D">
        <w:rPr>
          <w:noProof/>
          <w:color w:val="000000" w:themeColor="text1"/>
          <w:sz w:val="24"/>
          <w:szCs w:val="24"/>
        </w:rPr>
        <w:tab/>
        <w:t xml:space="preserve">H. Schielzeth, Simple means to improve the interpretability of regression coefficients. </w:t>
      </w:r>
      <w:r w:rsidRPr="008E0C1D">
        <w:rPr>
          <w:i/>
          <w:iCs/>
          <w:noProof/>
          <w:color w:val="000000" w:themeColor="text1"/>
          <w:sz w:val="24"/>
          <w:szCs w:val="24"/>
        </w:rPr>
        <w:t>Methods Ecol. Evol.</w:t>
      </w:r>
      <w:r w:rsidRPr="008E0C1D">
        <w:rPr>
          <w:noProof/>
          <w:color w:val="000000" w:themeColor="text1"/>
          <w:sz w:val="24"/>
          <w:szCs w:val="24"/>
        </w:rPr>
        <w:t xml:space="preserve"> </w:t>
      </w:r>
      <w:r w:rsidRPr="008E0C1D">
        <w:rPr>
          <w:b/>
          <w:bCs/>
          <w:noProof/>
          <w:color w:val="000000" w:themeColor="text1"/>
          <w:sz w:val="24"/>
          <w:szCs w:val="24"/>
        </w:rPr>
        <w:t>1</w:t>
      </w:r>
      <w:r w:rsidRPr="008E0C1D">
        <w:rPr>
          <w:noProof/>
          <w:color w:val="000000" w:themeColor="text1"/>
          <w:sz w:val="24"/>
          <w:szCs w:val="24"/>
        </w:rPr>
        <w:t>, 103–113 (2010).</w:t>
      </w:r>
    </w:p>
    <w:p w14:paraId="3DCD7B34"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57. </w:t>
      </w:r>
      <w:r w:rsidRPr="008E0C1D">
        <w:rPr>
          <w:noProof/>
          <w:color w:val="000000" w:themeColor="text1"/>
          <w:sz w:val="24"/>
          <w:szCs w:val="24"/>
        </w:rPr>
        <w:tab/>
        <w:t xml:space="preserve">S. N. Wood, </w:t>
      </w:r>
      <w:r w:rsidRPr="008E0C1D">
        <w:rPr>
          <w:i/>
          <w:iCs/>
          <w:noProof/>
          <w:color w:val="000000" w:themeColor="text1"/>
          <w:sz w:val="24"/>
          <w:szCs w:val="24"/>
        </w:rPr>
        <w:t>Generalized Additive Models: An Introduction with R</w:t>
      </w:r>
      <w:r w:rsidRPr="008E0C1D">
        <w:rPr>
          <w:noProof/>
          <w:color w:val="000000" w:themeColor="text1"/>
          <w:sz w:val="24"/>
          <w:szCs w:val="24"/>
        </w:rPr>
        <w:t xml:space="preserve"> (Chapman and Hall/CRC, ed. 2, 2017).</w:t>
      </w:r>
    </w:p>
    <w:p w14:paraId="0EFC60FF"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58. </w:t>
      </w:r>
      <w:r w:rsidRPr="008E0C1D">
        <w:rPr>
          <w:noProof/>
          <w:color w:val="000000" w:themeColor="text1"/>
          <w:sz w:val="24"/>
          <w:szCs w:val="24"/>
        </w:rPr>
        <w:tab/>
        <w:t xml:space="preserve">R. C. Team, </w:t>
      </w:r>
      <w:r w:rsidRPr="008E0C1D">
        <w:rPr>
          <w:i/>
          <w:iCs/>
          <w:noProof/>
          <w:color w:val="000000" w:themeColor="text1"/>
          <w:sz w:val="24"/>
          <w:szCs w:val="24"/>
        </w:rPr>
        <w:t>R: A language and environment for statistical computing</w:t>
      </w:r>
      <w:r w:rsidRPr="008E0C1D">
        <w:rPr>
          <w:noProof/>
          <w:color w:val="000000" w:themeColor="text1"/>
          <w:sz w:val="24"/>
          <w:szCs w:val="24"/>
        </w:rPr>
        <w:t xml:space="preserve"> (R Foundation for Statistical Computing, Vienna, Austria, 2018).</w:t>
      </w:r>
    </w:p>
    <w:p w14:paraId="0321C7B8" w14:textId="77777777" w:rsidR="00775562" w:rsidRPr="008E0C1D" w:rsidRDefault="00775562" w:rsidP="00775562">
      <w:pPr>
        <w:widowControl w:val="0"/>
        <w:autoSpaceDE w:val="0"/>
        <w:autoSpaceDN w:val="0"/>
        <w:adjustRightInd w:val="0"/>
        <w:ind w:left="640" w:hanging="640"/>
        <w:rPr>
          <w:noProof/>
          <w:color w:val="000000" w:themeColor="text1"/>
          <w:sz w:val="24"/>
          <w:szCs w:val="24"/>
        </w:rPr>
      </w:pPr>
      <w:r w:rsidRPr="008E0C1D">
        <w:rPr>
          <w:noProof/>
          <w:color w:val="000000" w:themeColor="text1"/>
          <w:sz w:val="24"/>
          <w:szCs w:val="24"/>
        </w:rPr>
        <w:t xml:space="preserve">59. </w:t>
      </w:r>
      <w:r w:rsidRPr="008E0C1D">
        <w:rPr>
          <w:noProof/>
          <w:color w:val="000000" w:themeColor="text1"/>
          <w:sz w:val="24"/>
          <w:szCs w:val="24"/>
        </w:rPr>
        <w:tab/>
        <w:t xml:space="preserve">P. De Frenne </w:t>
      </w:r>
      <w:r w:rsidRPr="008E0C1D">
        <w:rPr>
          <w:i/>
          <w:noProof/>
          <w:color w:val="000000" w:themeColor="text1"/>
          <w:sz w:val="24"/>
          <w:szCs w:val="24"/>
        </w:rPr>
        <w:t>et al</w:t>
      </w:r>
      <w:r w:rsidRPr="008E0C1D">
        <w:rPr>
          <w:noProof/>
          <w:color w:val="000000" w:themeColor="text1"/>
          <w:sz w:val="24"/>
          <w:szCs w:val="24"/>
        </w:rPr>
        <w:t xml:space="preserve">., Light accelerates plant responses to warming. </w:t>
      </w:r>
      <w:r w:rsidRPr="008E0C1D">
        <w:rPr>
          <w:i/>
          <w:iCs/>
          <w:noProof/>
          <w:color w:val="000000" w:themeColor="text1"/>
          <w:sz w:val="24"/>
          <w:szCs w:val="24"/>
        </w:rPr>
        <w:t>Nat. Plants</w:t>
      </w:r>
      <w:r w:rsidRPr="008E0C1D">
        <w:rPr>
          <w:noProof/>
          <w:color w:val="000000" w:themeColor="text1"/>
          <w:sz w:val="24"/>
          <w:szCs w:val="24"/>
        </w:rPr>
        <w:t xml:space="preserve">. </w:t>
      </w:r>
      <w:r w:rsidRPr="008E0C1D">
        <w:rPr>
          <w:b/>
          <w:bCs/>
          <w:noProof/>
          <w:color w:val="000000" w:themeColor="text1"/>
          <w:sz w:val="24"/>
          <w:szCs w:val="24"/>
        </w:rPr>
        <w:t>1</w:t>
      </w:r>
      <w:r w:rsidRPr="008E0C1D">
        <w:rPr>
          <w:noProof/>
          <w:color w:val="000000" w:themeColor="text1"/>
          <w:sz w:val="24"/>
          <w:szCs w:val="24"/>
        </w:rPr>
        <w:t>, 1–3 (2015).</w:t>
      </w:r>
    </w:p>
    <w:p w14:paraId="4CADF7A5" w14:textId="078DE136" w:rsidR="00615848" w:rsidRPr="008E0C1D" w:rsidRDefault="00615848" w:rsidP="004549C6">
      <w:pPr>
        <w:widowControl w:val="0"/>
        <w:autoSpaceDE w:val="0"/>
        <w:autoSpaceDN w:val="0"/>
        <w:adjustRightInd w:val="0"/>
        <w:spacing w:before="120"/>
        <w:ind w:left="640" w:hanging="640"/>
        <w:rPr>
          <w:rFonts w:ascii="Times" w:hAnsi="Times"/>
          <w:color w:val="000000" w:themeColor="text1"/>
        </w:rPr>
      </w:pPr>
    </w:p>
    <w:p w14:paraId="20E0C7F6" w14:textId="514D9C22" w:rsidR="00087D7D" w:rsidRPr="008E0C1D" w:rsidRDefault="00D73714" w:rsidP="006438D6">
      <w:pPr>
        <w:pBdr>
          <w:top w:val="nil"/>
          <w:left w:val="nil"/>
          <w:bottom w:val="nil"/>
          <w:right w:val="nil"/>
          <w:between w:val="nil"/>
        </w:pBdr>
        <w:rPr>
          <w:rFonts w:ascii="Times" w:hAnsi="Times"/>
          <w:color w:val="000000" w:themeColor="text1"/>
          <w:sz w:val="24"/>
          <w:szCs w:val="24"/>
        </w:rPr>
      </w:pPr>
      <w:r w:rsidRPr="008E0C1D">
        <w:rPr>
          <w:rFonts w:ascii="Times" w:hAnsi="Times"/>
          <w:b/>
          <w:color w:val="000000" w:themeColor="text1"/>
          <w:sz w:val="24"/>
          <w:szCs w:val="24"/>
        </w:rPr>
        <w:t>Acknowledgments</w:t>
      </w:r>
      <w:r w:rsidRPr="008E0C1D">
        <w:rPr>
          <w:rFonts w:ascii="Times" w:hAnsi="Times"/>
          <w:color w:val="000000" w:themeColor="text1"/>
          <w:sz w:val="24"/>
          <w:szCs w:val="24"/>
        </w:rPr>
        <w:t xml:space="preserve"> </w:t>
      </w:r>
    </w:p>
    <w:p w14:paraId="0A4A0057" w14:textId="77777777" w:rsidR="00087D7D" w:rsidRPr="008E0C1D" w:rsidRDefault="00087D7D" w:rsidP="006438D6">
      <w:pPr>
        <w:pBdr>
          <w:top w:val="nil"/>
          <w:left w:val="nil"/>
          <w:bottom w:val="nil"/>
          <w:right w:val="nil"/>
          <w:between w:val="nil"/>
        </w:pBdr>
        <w:rPr>
          <w:rFonts w:eastAsia="Times New Roman"/>
          <w:bCs/>
          <w:color w:val="000000" w:themeColor="text1"/>
          <w:sz w:val="24"/>
          <w:szCs w:val="24"/>
        </w:rPr>
      </w:pPr>
    </w:p>
    <w:p w14:paraId="57798A5C" w14:textId="0081BACB" w:rsidR="006438D6" w:rsidRPr="008E0C1D" w:rsidRDefault="00087D7D" w:rsidP="006438D6">
      <w:pPr>
        <w:pBdr>
          <w:top w:val="nil"/>
          <w:left w:val="nil"/>
          <w:bottom w:val="nil"/>
          <w:right w:val="nil"/>
          <w:between w:val="nil"/>
        </w:pBdr>
        <w:rPr>
          <w:rFonts w:eastAsia="Times New Roman"/>
          <w:bCs/>
          <w:color w:val="000000" w:themeColor="text1"/>
          <w:sz w:val="24"/>
          <w:szCs w:val="24"/>
        </w:rPr>
      </w:pPr>
      <w:r w:rsidRPr="008E0C1D">
        <w:rPr>
          <w:rFonts w:eastAsia="Times New Roman"/>
          <w:b/>
          <w:bCs/>
          <w:color w:val="000000" w:themeColor="text1"/>
          <w:sz w:val="24"/>
          <w:szCs w:val="24"/>
        </w:rPr>
        <w:t>Funding:</w:t>
      </w:r>
      <w:r w:rsidRPr="008E0C1D">
        <w:rPr>
          <w:rFonts w:eastAsia="Times New Roman"/>
          <w:bCs/>
          <w:color w:val="000000" w:themeColor="text1"/>
          <w:sz w:val="24"/>
          <w:szCs w:val="24"/>
        </w:rPr>
        <w:t xml:space="preserve"> </w:t>
      </w:r>
      <w:r w:rsidR="006438D6" w:rsidRPr="008E0C1D">
        <w:rPr>
          <w:rFonts w:eastAsia="Times New Roman"/>
          <w:bCs/>
          <w:color w:val="000000" w:themeColor="text1"/>
          <w:sz w:val="24"/>
          <w:szCs w:val="24"/>
        </w:rPr>
        <w:t>F.Z. received funding from the Swiss National Science Foundation (project 172198) and the Isaac Newton Trust; P.D.F. and P.V. from the European Research Council (ERC) under the European Union’s Horizon 2020 research and innovation programme (ERC Starting Grant FORMICA 757833); K.V.</w:t>
      </w:r>
      <w:r w:rsidR="006438D6" w:rsidRPr="008E0C1D">
        <w:rPr>
          <w:color w:val="000000" w:themeColor="text1"/>
          <w:sz w:val="24"/>
          <w:szCs w:val="24"/>
        </w:rPr>
        <w:t xml:space="preserve"> </w:t>
      </w:r>
      <w:r w:rsidR="006438D6" w:rsidRPr="008E0C1D">
        <w:rPr>
          <w:rFonts w:eastAsia="Times New Roman"/>
          <w:bCs/>
          <w:color w:val="000000" w:themeColor="text1"/>
          <w:sz w:val="24"/>
          <w:szCs w:val="24"/>
        </w:rPr>
        <w:t>from ERC Consolidator Grant PASTFORWARD (614839). The Czech Science Foundation and Czech Academy of Sciences funded M.C., O.V. and R.H. (17-09283S, RVO 67985939), and M.M. and M.K. (17-13998S, RVO 67985939), and P.P. (RVO 67985939). T.N. received funding from the Slovenian Research Agency (J4-1765); T.B. from the Ministry for Innovation and Technology in Hungary; B.I. was funded by Agrárklíma II. (VKSZ_12-1-2013-0034); R.P. from the Polish Ministry of Science and Higher Education (DS-3421); F.M. from the Slovak government (APVV-15-0270)</w:t>
      </w:r>
      <w:r w:rsidR="002D3D44" w:rsidRPr="008E0C1D">
        <w:rPr>
          <w:rFonts w:eastAsia="Times New Roman"/>
          <w:bCs/>
          <w:color w:val="000000" w:themeColor="text1"/>
          <w:sz w:val="24"/>
          <w:szCs w:val="24"/>
        </w:rPr>
        <w:t>.</w:t>
      </w:r>
    </w:p>
    <w:p w14:paraId="7691F75D" w14:textId="77777777" w:rsidR="00D83D9D" w:rsidRPr="008E0C1D" w:rsidRDefault="00DD225C" w:rsidP="00290551">
      <w:pPr>
        <w:pBdr>
          <w:top w:val="nil"/>
          <w:left w:val="nil"/>
          <w:bottom w:val="nil"/>
          <w:right w:val="nil"/>
          <w:between w:val="nil"/>
        </w:pBdr>
        <w:spacing w:before="120"/>
        <w:rPr>
          <w:rFonts w:ascii="Times" w:eastAsia="Times New Roman" w:hAnsi="Times"/>
          <w:bCs/>
          <w:color w:val="000000" w:themeColor="text1"/>
          <w:sz w:val="24"/>
          <w:szCs w:val="24"/>
        </w:rPr>
      </w:pPr>
      <w:r w:rsidRPr="008E0C1D">
        <w:rPr>
          <w:rFonts w:ascii="Times" w:hAnsi="Times"/>
          <w:b/>
          <w:color w:val="000000" w:themeColor="text1"/>
          <w:sz w:val="24"/>
          <w:szCs w:val="24"/>
        </w:rPr>
        <w:t>Author contributions:</w:t>
      </w:r>
      <w:r w:rsidRPr="008E0C1D">
        <w:rPr>
          <w:rFonts w:ascii="Times" w:hAnsi="Times"/>
          <w:color w:val="000000" w:themeColor="text1"/>
          <w:sz w:val="24"/>
          <w:szCs w:val="24"/>
        </w:rPr>
        <w:t xml:space="preserve"> </w:t>
      </w:r>
      <w:r w:rsidR="00D83D9D" w:rsidRPr="008E0C1D">
        <w:rPr>
          <w:rFonts w:ascii="Times" w:eastAsia="Times New Roman" w:hAnsi="Times"/>
          <w:bCs/>
          <w:color w:val="000000" w:themeColor="text1"/>
          <w:sz w:val="24"/>
          <w:szCs w:val="24"/>
        </w:rPr>
        <w:t>F.Z., P.D.F. and D.C. conceived and designed research. F.Z. analyzed the data with help from P.D.F. P.V. and P.D.F. calculated the thermal response curves. J.L. contributed data and valuable methodological comments. All other authors contributed data. F.Z. wrote the manuscript together with P.D.F. and D.C. All other authors commented, edited and approved the manuscript.</w:t>
      </w:r>
    </w:p>
    <w:p w14:paraId="1BFFF18F" w14:textId="77777777" w:rsidR="00D83D9D" w:rsidRPr="008E0C1D" w:rsidRDefault="00DD225C" w:rsidP="00DD225C">
      <w:pPr>
        <w:pStyle w:val="Acknowledgement"/>
        <w:ind w:left="0" w:firstLine="0"/>
        <w:rPr>
          <w:rFonts w:ascii="Times" w:hAnsi="Times"/>
          <w:color w:val="000000" w:themeColor="text1"/>
        </w:rPr>
      </w:pPr>
      <w:r w:rsidRPr="008E0C1D">
        <w:rPr>
          <w:rFonts w:ascii="Times" w:hAnsi="Times"/>
          <w:b/>
          <w:color w:val="000000" w:themeColor="text1"/>
        </w:rPr>
        <w:t>Competing interests:</w:t>
      </w:r>
      <w:r w:rsidRPr="008E0C1D">
        <w:rPr>
          <w:rFonts w:ascii="Times" w:hAnsi="Times"/>
          <w:color w:val="000000" w:themeColor="text1"/>
        </w:rPr>
        <w:t xml:space="preserve"> </w:t>
      </w:r>
      <w:r w:rsidR="00ED4D2D" w:rsidRPr="008E0C1D">
        <w:rPr>
          <w:rFonts w:ascii="Times" w:hAnsi="Times"/>
          <w:color w:val="000000" w:themeColor="text1"/>
        </w:rPr>
        <w:t>Authors declare no competing interests.</w:t>
      </w:r>
    </w:p>
    <w:p w14:paraId="73E3617C" w14:textId="6EB1243B" w:rsidR="00D73714" w:rsidRPr="008E0C1D" w:rsidRDefault="00DD225C" w:rsidP="00D83D9D">
      <w:pPr>
        <w:pStyle w:val="Acknowledgement"/>
        <w:ind w:left="0" w:firstLine="0"/>
        <w:rPr>
          <w:rFonts w:ascii="Times" w:hAnsi="Times"/>
          <w:color w:val="000000" w:themeColor="text1"/>
        </w:rPr>
      </w:pPr>
      <w:r w:rsidRPr="008E0C1D">
        <w:rPr>
          <w:rFonts w:ascii="Times" w:hAnsi="Times"/>
          <w:b/>
          <w:color w:val="000000" w:themeColor="text1"/>
        </w:rPr>
        <w:t>Data and materials availability:</w:t>
      </w:r>
      <w:r w:rsidRPr="008E0C1D">
        <w:rPr>
          <w:rFonts w:ascii="Times" w:hAnsi="Times"/>
          <w:color w:val="000000" w:themeColor="text1"/>
        </w:rPr>
        <w:t xml:space="preserve"> </w:t>
      </w:r>
      <w:r w:rsidR="00D83D9D" w:rsidRPr="008E0C1D">
        <w:rPr>
          <w:rFonts w:ascii="Times" w:hAnsi="Times"/>
          <w:color w:val="000000" w:themeColor="text1"/>
        </w:rPr>
        <w:t xml:space="preserve">Data and code </w:t>
      </w:r>
      <w:r w:rsidR="00BF155A" w:rsidRPr="008E0C1D">
        <w:rPr>
          <w:rFonts w:ascii="Times" w:hAnsi="Times"/>
          <w:color w:val="000000" w:themeColor="text1"/>
        </w:rPr>
        <w:t>used in this study are available in the online DRYAD</w:t>
      </w:r>
      <w:r w:rsidR="00D83D9D" w:rsidRPr="008E0C1D">
        <w:rPr>
          <w:rFonts w:ascii="Times" w:hAnsi="Times"/>
          <w:color w:val="000000" w:themeColor="text1"/>
        </w:rPr>
        <w:t xml:space="preserve"> repository</w:t>
      </w:r>
      <w:r w:rsidR="00BF155A" w:rsidRPr="008E0C1D">
        <w:rPr>
          <w:rFonts w:ascii="Times" w:hAnsi="Times"/>
          <w:color w:val="000000" w:themeColor="text1"/>
        </w:rPr>
        <w:t xml:space="preserve"> with the identifier doi:10.5061/dryad.r7sqv9s83.</w:t>
      </w:r>
    </w:p>
    <w:p w14:paraId="751FC283" w14:textId="77777777" w:rsidR="00F26AF7" w:rsidRPr="008E0C1D" w:rsidRDefault="00F26AF7" w:rsidP="00F26AF7">
      <w:pPr>
        <w:pStyle w:val="SOMHead"/>
        <w:rPr>
          <w:rFonts w:ascii="Times" w:hAnsi="Times"/>
          <w:color w:val="000000" w:themeColor="text1"/>
        </w:rPr>
      </w:pPr>
      <w:r w:rsidRPr="008E0C1D">
        <w:rPr>
          <w:rFonts w:ascii="Times" w:hAnsi="Times"/>
          <w:color w:val="000000" w:themeColor="text1"/>
        </w:rPr>
        <w:lastRenderedPageBreak/>
        <w:t>Supplementary Materials:</w:t>
      </w:r>
    </w:p>
    <w:p w14:paraId="5E760E27" w14:textId="58BF47A6" w:rsidR="00F26AF7" w:rsidRPr="008E0C1D" w:rsidRDefault="00F26AF7" w:rsidP="00F26AF7">
      <w:pPr>
        <w:pStyle w:val="SOMContent"/>
        <w:rPr>
          <w:rFonts w:ascii="Times" w:hAnsi="Times"/>
          <w:color w:val="000000" w:themeColor="text1"/>
        </w:rPr>
      </w:pPr>
      <w:r w:rsidRPr="008E0C1D">
        <w:rPr>
          <w:rFonts w:ascii="Times" w:hAnsi="Times"/>
          <w:color w:val="000000" w:themeColor="text1"/>
        </w:rPr>
        <w:t>Materials and Methods</w:t>
      </w:r>
    </w:p>
    <w:p w14:paraId="3D2CA104" w14:textId="1CF91121" w:rsidR="00615848" w:rsidRPr="008E0C1D" w:rsidRDefault="006221B7" w:rsidP="00F26AF7">
      <w:pPr>
        <w:pStyle w:val="SOMContent"/>
        <w:rPr>
          <w:rFonts w:ascii="Times" w:hAnsi="Times"/>
          <w:color w:val="000000" w:themeColor="text1"/>
        </w:rPr>
      </w:pPr>
      <w:r w:rsidRPr="008E0C1D">
        <w:rPr>
          <w:rFonts w:ascii="Times" w:hAnsi="Times"/>
          <w:color w:val="000000" w:themeColor="text1"/>
        </w:rPr>
        <w:t>Figures S1-S</w:t>
      </w:r>
      <w:r w:rsidR="00E729CD" w:rsidRPr="008E0C1D">
        <w:rPr>
          <w:rFonts w:ascii="Times" w:hAnsi="Times"/>
          <w:color w:val="000000" w:themeColor="text1"/>
        </w:rPr>
        <w:t>10</w:t>
      </w:r>
    </w:p>
    <w:p w14:paraId="14D4FAF1" w14:textId="323284EA" w:rsidR="000205A9" w:rsidRPr="008E0C1D" w:rsidRDefault="000205A9" w:rsidP="00F26AF7">
      <w:pPr>
        <w:pStyle w:val="SOMContent"/>
        <w:rPr>
          <w:rFonts w:ascii="Times" w:hAnsi="Times"/>
          <w:color w:val="000000" w:themeColor="text1"/>
        </w:rPr>
      </w:pPr>
      <w:r w:rsidRPr="008E0C1D">
        <w:rPr>
          <w:rFonts w:ascii="Times" w:hAnsi="Times"/>
          <w:color w:val="000000" w:themeColor="text1"/>
        </w:rPr>
        <w:t>References 3</w:t>
      </w:r>
      <w:r w:rsidR="00953BF9" w:rsidRPr="008E0C1D">
        <w:rPr>
          <w:rFonts w:ascii="Times" w:hAnsi="Times"/>
          <w:color w:val="000000" w:themeColor="text1"/>
        </w:rPr>
        <w:t>5</w:t>
      </w:r>
      <w:r w:rsidRPr="008E0C1D">
        <w:rPr>
          <w:rFonts w:ascii="Times" w:hAnsi="Times"/>
          <w:color w:val="000000" w:themeColor="text1"/>
        </w:rPr>
        <w:t xml:space="preserve"> – 5</w:t>
      </w:r>
      <w:r w:rsidR="00953BF9" w:rsidRPr="008E0C1D">
        <w:rPr>
          <w:rFonts w:ascii="Times" w:hAnsi="Times"/>
          <w:color w:val="000000" w:themeColor="text1"/>
        </w:rPr>
        <w:t>9</w:t>
      </w:r>
      <w:r w:rsidRPr="008E0C1D">
        <w:rPr>
          <w:rFonts w:ascii="Times" w:hAnsi="Times"/>
          <w:color w:val="000000" w:themeColor="text1"/>
        </w:rPr>
        <w:t xml:space="preserve"> are only </w:t>
      </w:r>
      <w:r w:rsidR="00727CB8" w:rsidRPr="008E0C1D">
        <w:rPr>
          <w:rFonts w:ascii="Times" w:hAnsi="Times"/>
          <w:color w:val="000000" w:themeColor="text1"/>
        </w:rPr>
        <w:t>called out</w:t>
      </w:r>
      <w:r w:rsidRPr="008E0C1D">
        <w:rPr>
          <w:rFonts w:ascii="Times" w:hAnsi="Times"/>
          <w:color w:val="000000" w:themeColor="text1"/>
        </w:rPr>
        <w:t xml:space="preserve"> in the SM</w:t>
      </w:r>
    </w:p>
    <w:p w14:paraId="5721E2F5" w14:textId="653208F3" w:rsidR="00640A11" w:rsidRPr="008E0C1D" w:rsidRDefault="00640A11">
      <w:pPr>
        <w:rPr>
          <w:rFonts w:ascii="Times" w:eastAsia="Times New Roman" w:hAnsi="Times"/>
          <w:color w:val="000000" w:themeColor="text1"/>
          <w:sz w:val="24"/>
          <w:szCs w:val="24"/>
        </w:rPr>
      </w:pPr>
      <w:r w:rsidRPr="008E0C1D">
        <w:rPr>
          <w:rFonts w:ascii="Times" w:hAnsi="Times"/>
          <w:color w:val="000000" w:themeColor="text1"/>
        </w:rPr>
        <w:br w:type="page"/>
      </w:r>
    </w:p>
    <w:p w14:paraId="78EF6639" w14:textId="77777777" w:rsidR="004428C2" w:rsidRPr="008E0C1D" w:rsidRDefault="004428C2" w:rsidP="004428C2">
      <w:pPr>
        <w:jc w:val="center"/>
        <w:rPr>
          <w:color w:val="000000" w:themeColor="text1"/>
          <w:sz w:val="36"/>
          <w:szCs w:val="36"/>
        </w:rPr>
      </w:pPr>
      <w:r w:rsidRPr="008E0C1D">
        <w:rPr>
          <w:noProof/>
          <w:color w:val="000000" w:themeColor="text1"/>
          <w:sz w:val="36"/>
          <w:szCs w:val="36"/>
        </w:rPr>
        <w:lastRenderedPageBreak/>
        <w:drawing>
          <wp:inline distT="0" distB="0" distL="0" distR="0" wp14:anchorId="5E0531C9" wp14:editId="0853C9FC">
            <wp:extent cx="1839250" cy="804672"/>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ience-AAAS-stacked-colo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39250" cy="804672"/>
                    </a:xfrm>
                    <a:prstGeom prst="rect">
                      <a:avLst/>
                    </a:prstGeom>
                  </pic:spPr>
                </pic:pic>
              </a:graphicData>
            </a:graphic>
          </wp:inline>
        </w:drawing>
      </w:r>
    </w:p>
    <w:p w14:paraId="133181D6" w14:textId="77777777" w:rsidR="004428C2" w:rsidRPr="008E0C1D" w:rsidRDefault="004428C2" w:rsidP="004428C2">
      <w:pPr>
        <w:rPr>
          <w:color w:val="000000" w:themeColor="text1"/>
          <w:sz w:val="36"/>
          <w:szCs w:val="36"/>
        </w:rPr>
      </w:pPr>
    </w:p>
    <w:p w14:paraId="6D4E9C39" w14:textId="77777777" w:rsidR="004428C2" w:rsidRPr="008E0C1D" w:rsidRDefault="004428C2" w:rsidP="004428C2">
      <w:pPr>
        <w:jc w:val="center"/>
        <w:rPr>
          <w:color w:val="000000" w:themeColor="text1"/>
          <w:sz w:val="36"/>
          <w:szCs w:val="36"/>
        </w:rPr>
      </w:pPr>
    </w:p>
    <w:p w14:paraId="7BCC1A5C" w14:textId="77777777" w:rsidR="004428C2" w:rsidRPr="008E0C1D" w:rsidRDefault="004428C2" w:rsidP="004428C2">
      <w:pPr>
        <w:jc w:val="center"/>
        <w:rPr>
          <w:color w:val="000000" w:themeColor="text1"/>
          <w:sz w:val="36"/>
          <w:szCs w:val="36"/>
        </w:rPr>
      </w:pPr>
      <w:r w:rsidRPr="008E0C1D">
        <w:rPr>
          <w:color w:val="000000" w:themeColor="text1"/>
          <w:sz w:val="36"/>
          <w:szCs w:val="36"/>
        </w:rPr>
        <w:t>Supplementary Materials for</w:t>
      </w:r>
    </w:p>
    <w:p w14:paraId="601C2BBD" w14:textId="77777777" w:rsidR="004428C2" w:rsidRPr="008E0C1D" w:rsidRDefault="004428C2" w:rsidP="004428C2">
      <w:pPr>
        <w:rPr>
          <w:color w:val="000000" w:themeColor="text1"/>
        </w:rPr>
      </w:pPr>
    </w:p>
    <w:p w14:paraId="33C6D64A" w14:textId="77777777" w:rsidR="004428C2" w:rsidRPr="008E0C1D" w:rsidRDefault="004428C2" w:rsidP="004428C2">
      <w:pPr>
        <w:pStyle w:val="Head"/>
        <w:rPr>
          <w:rFonts w:ascii="Times" w:hAnsi="Times"/>
          <w:b w:val="0"/>
          <w:bCs w:val="0"/>
          <w:color w:val="000000" w:themeColor="text1"/>
        </w:rPr>
      </w:pPr>
      <w:r w:rsidRPr="008E0C1D">
        <w:rPr>
          <w:rFonts w:ascii="Times" w:hAnsi="Times"/>
          <w:b w:val="0"/>
          <w:bCs w:val="0"/>
          <w:color w:val="000000" w:themeColor="text1"/>
        </w:rPr>
        <w:t>Forest microclimate dynamics drive plant responses to warming</w:t>
      </w:r>
    </w:p>
    <w:p w14:paraId="6E17AC8C" w14:textId="77777777" w:rsidR="004428C2" w:rsidRPr="008E0C1D" w:rsidRDefault="004428C2" w:rsidP="004428C2">
      <w:pPr>
        <w:jc w:val="center"/>
        <w:rPr>
          <w:color w:val="000000" w:themeColor="text1"/>
          <w:sz w:val="28"/>
          <w:szCs w:val="28"/>
        </w:rPr>
      </w:pPr>
    </w:p>
    <w:p w14:paraId="1D4364A2" w14:textId="77777777" w:rsidR="004428C2" w:rsidRPr="008E0C1D" w:rsidRDefault="004428C2" w:rsidP="004428C2">
      <w:pPr>
        <w:pStyle w:val="Authors"/>
        <w:rPr>
          <w:rFonts w:ascii="Times" w:hAnsi="Times"/>
          <w:color w:val="000000" w:themeColor="text1"/>
        </w:rPr>
      </w:pPr>
      <w:r w:rsidRPr="008E0C1D">
        <w:rPr>
          <w:rFonts w:ascii="Times" w:hAnsi="Times"/>
          <w:color w:val="000000" w:themeColor="text1"/>
        </w:rPr>
        <w:t>Florian Zellweger</w:t>
      </w:r>
      <w:r w:rsidRPr="008E0C1D">
        <w:rPr>
          <w:rFonts w:ascii="Times" w:hAnsi="Times"/>
          <w:color w:val="000000" w:themeColor="text1"/>
          <w:vertAlign w:val="superscript"/>
        </w:rPr>
        <w:t>1,2</w:t>
      </w:r>
      <w:r w:rsidRPr="008E0C1D">
        <w:rPr>
          <w:rFonts w:ascii="Times" w:hAnsi="Times"/>
          <w:color w:val="000000" w:themeColor="text1"/>
        </w:rPr>
        <w:t>*†, Pieter De Frenne</w:t>
      </w:r>
      <w:r w:rsidRPr="008E0C1D">
        <w:rPr>
          <w:rFonts w:ascii="Times" w:hAnsi="Times"/>
          <w:color w:val="000000" w:themeColor="text1"/>
          <w:vertAlign w:val="superscript"/>
        </w:rPr>
        <w:t>3</w:t>
      </w:r>
      <w:r w:rsidRPr="008E0C1D">
        <w:rPr>
          <w:rFonts w:ascii="Times" w:hAnsi="Times"/>
          <w:color w:val="000000" w:themeColor="text1"/>
        </w:rPr>
        <w:t>†, Jonathan Lenoir</w:t>
      </w:r>
      <w:r w:rsidRPr="008E0C1D">
        <w:rPr>
          <w:rFonts w:ascii="Times" w:hAnsi="Times"/>
          <w:color w:val="000000" w:themeColor="text1"/>
          <w:vertAlign w:val="superscript"/>
        </w:rPr>
        <w:t>4</w:t>
      </w:r>
      <w:r w:rsidRPr="008E0C1D">
        <w:rPr>
          <w:rFonts w:ascii="Times" w:hAnsi="Times"/>
          <w:color w:val="000000" w:themeColor="text1"/>
        </w:rPr>
        <w:t>, Pieter Vangansbeke</w:t>
      </w:r>
      <w:r w:rsidRPr="008E0C1D">
        <w:rPr>
          <w:rFonts w:ascii="Times" w:hAnsi="Times"/>
          <w:color w:val="000000" w:themeColor="text1"/>
          <w:vertAlign w:val="superscript"/>
        </w:rPr>
        <w:t>3</w:t>
      </w:r>
      <w:r w:rsidRPr="008E0C1D">
        <w:rPr>
          <w:rFonts w:ascii="Times" w:hAnsi="Times"/>
          <w:color w:val="000000" w:themeColor="text1"/>
        </w:rPr>
        <w:t>, Kris Verheyen</w:t>
      </w:r>
      <w:r w:rsidRPr="008E0C1D">
        <w:rPr>
          <w:rFonts w:ascii="Times" w:hAnsi="Times"/>
          <w:color w:val="000000" w:themeColor="text1"/>
          <w:vertAlign w:val="superscript"/>
        </w:rPr>
        <w:t>3</w:t>
      </w:r>
      <w:r w:rsidRPr="008E0C1D">
        <w:rPr>
          <w:rFonts w:ascii="Times" w:hAnsi="Times"/>
          <w:color w:val="000000" w:themeColor="text1"/>
        </w:rPr>
        <w:t>, Markus Bernhardt-Römermann</w:t>
      </w:r>
      <w:r w:rsidRPr="008E0C1D">
        <w:rPr>
          <w:rFonts w:ascii="Times" w:hAnsi="Times"/>
          <w:color w:val="000000" w:themeColor="text1"/>
          <w:vertAlign w:val="superscript"/>
        </w:rPr>
        <w:t>5</w:t>
      </w:r>
      <w:r w:rsidRPr="008E0C1D">
        <w:rPr>
          <w:rFonts w:ascii="Times" w:hAnsi="Times"/>
          <w:color w:val="000000" w:themeColor="text1"/>
        </w:rPr>
        <w:t>, Lander Baeten</w:t>
      </w:r>
      <w:r w:rsidRPr="008E0C1D">
        <w:rPr>
          <w:rFonts w:ascii="Times" w:hAnsi="Times"/>
          <w:color w:val="000000" w:themeColor="text1"/>
          <w:vertAlign w:val="superscript"/>
        </w:rPr>
        <w:t>3</w:t>
      </w:r>
      <w:r w:rsidRPr="008E0C1D">
        <w:rPr>
          <w:rFonts w:ascii="Times" w:hAnsi="Times"/>
          <w:color w:val="000000" w:themeColor="text1"/>
        </w:rPr>
        <w:t>, Radim Hédl</w:t>
      </w:r>
      <w:r w:rsidRPr="008E0C1D">
        <w:rPr>
          <w:rFonts w:ascii="Times" w:hAnsi="Times"/>
          <w:color w:val="000000" w:themeColor="text1"/>
          <w:vertAlign w:val="superscript"/>
        </w:rPr>
        <w:t>6</w:t>
      </w:r>
      <w:r w:rsidRPr="008E0C1D">
        <w:rPr>
          <w:rFonts w:ascii="Times" w:hAnsi="Times"/>
          <w:color w:val="000000" w:themeColor="text1"/>
        </w:rPr>
        <w:t>, Imre Berki</w:t>
      </w:r>
      <w:r w:rsidRPr="008E0C1D">
        <w:rPr>
          <w:rFonts w:ascii="Times" w:hAnsi="Times"/>
          <w:color w:val="000000" w:themeColor="text1"/>
          <w:vertAlign w:val="superscript"/>
        </w:rPr>
        <w:t>7</w:t>
      </w:r>
      <w:r w:rsidRPr="008E0C1D">
        <w:rPr>
          <w:rFonts w:ascii="Times" w:hAnsi="Times"/>
          <w:color w:val="000000" w:themeColor="text1"/>
        </w:rPr>
        <w:t>, Jörg Brunet</w:t>
      </w:r>
      <w:r w:rsidRPr="008E0C1D">
        <w:rPr>
          <w:rFonts w:ascii="Times" w:hAnsi="Times"/>
          <w:color w:val="000000" w:themeColor="text1"/>
          <w:vertAlign w:val="superscript"/>
        </w:rPr>
        <w:t>8</w:t>
      </w:r>
      <w:r w:rsidRPr="008E0C1D">
        <w:rPr>
          <w:rFonts w:ascii="Times" w:hAnsi="Times"/>
          <w:color w:val="000000" w:themeColor="text1"/>
        </w:rPr>
        <w:t>, Hans Van Calster</w:t>
      </w:r>
      <w:r w:rsidRPr="008E0C1D">
        <w:rPr>
          <w:rFonts w:ascii="Times" w:hAnsi="Times"/>
          <w:color w:val="000000" w:themeColor="text1"/>
          <w:vertAlign w:val="superscript"/>
        </w:rPr>
        <w:t>9</w:t>
      </w:r>
      <w:r w:rsidRPr="008E0C1D">
        <w:rPr>
          <w:rFonts w:ascii="Times" w:hAnsi="Times"/>
          <w:color w:val="000000" w:themeColor="text1"/>
        </w:rPr>
        <w:t>, Markéta Chudomelová</w:t>
      </w:r>
      <w:r w:rsidRPr="008E0C1D">
        <w:rPr>
          <w:rFonts w:ascii="Times" w:hAnsi="Times"/>
          <w:color w:val="000000" w:themeColor="text1"/>
          <w:vertAlign w:val="superscript"/>
        </w:rPr>
        <w:t>10</w:t>
      </w:r>
      <w:r w:rsidRPr="008E0C1D">
        <w:rPr>
          <w:rFonts w:ascii="Times" w:hAnsi="Times"/>
          <w:color w:val="000000" w:themeColor="text1"/>
        </w:rPr>
        <w:t>, Guillaume Decocq</w:t>
      </w:r>
      <w:r w:rsidRPr="008E0C1D">
        <w:rPr>
          <w:rFonts w:ascii="Times" w:hAnsi="Times"/>
          <w:color w:val="000000" w:themeColor="text1"/>
          <w:vertAlign w:val="superscript"/>
        </w:rPr>
        <w:t>4</w:t>
      </w:r>
      <w:r w:rsidRPr="008E0C1D">
        <w:rPr>
          <w:rFonts w:ascii="Times" w:hAnsi="Times"/>
          <w:color w:val="000000" w:themeColor="text1"/>
        </w:rPr>
        <w:t>, Thomas Dirnböck</w:t>
      </w:r>
      <w:r w:rsidRPr="008E0C1D">
        <w:rPr>
          <w:rFonts w:ascii="Times" w:hAnsi="Times"/>
          <w:color w:val="000000" w:themeColor="text1"/>
          <w:vertAlign w:val="superscript"/>
        </w:rPr>
        <w:t>11</w:t>
      </w:r>
      <w:r w:rsidRPr="008E0C1D">
        <w:rPr>
          <w:rFonts w:ascii="Times" w:hAnsi="Times"/>
          <w:color w:val="000000" w:themeColor="text1"/>
        </w:rPr>
        <w:t>, Tomasz Durak</w:t>
      </w:r>
      <w:r w:rsidRPr="008E0C1D">
        <w:rPr>
          <w:rFonts w:ascii="Times" w:hAnsi="Times"/>
          <w:color w:val="000000" w:themeColor="text1"/>
          <w:vertAlign w:val="superscript"/>
        </w:rPr>
        <w:t>12</w:t>
      </w:r>
      <w:r w:rsidRPr="008E0C1D">
        <w:rPr>
          <w:rFonts w:ascii="Times" w:hAnsi="Times"/>
          <w:color w:val="000000" w:themeColor="text1"/>
        </w:rPr>
        <w:t>, Thilo Heinken</w:t>
      </w:r>
      <w:r w:rsidRPr="008E0C1D">
        <w:rPr>
          <w:rFonts w:ascii="Times" w:hAnsi="Times"/>
          <w:color w:val="000000" w:themeColor="text1"/>
          <w:vertAlign w:val="superscript"/>
        </w:rPr>
        <w:t>13</w:t>
      </w:r>
      <w:r w:rsidRPr="008E0C1D">
        <w:rPr>
          <w:rFonts w:ascii="Times" w:hAnsi="Times"/>
          <w:color w:val="000000" w:themeColor="text1"/>
        </w:rPr>
        <w:t>, Bogdan Jaroszewicz</w:t>
      </w:r>
      <w:r w:rsidRPr="008E0C1D">
        <w:rPr>
          <w:rFonts w:ascii="Times" w:hAnsi="Times"/>
          <w:color w:val="000000" w:themeColor="text1"/>
          <w:vertAlign w:val="superscript"/>
        </w:rPr>
        <w:t>14</w:t>
      </w:r>
      <w:r w:rsidRPr="008E0C1D">
        <w:rPr>
          <w:rFonts w:ascii="Times" w:hAnsi="Times"/>
          <w:color w:val="000000" w:themeColor="text1"/>
        </w:rPr>
        <w:t>, Martin Kopecký</w:t>
      </w:r>
      <w:r w:rsidRPr="008E0C1D">
        <w:rPr>
          <w:rFonts w:ascii="Times" w:hAnsi="Times"/>
          <w:color w:val="000000" w:themeColor="text1"/>
          <w:vertAlign w:val="superscript"/>
        </w:rPr>
        <w:t>15</w:t>
      </w:r>
      <w:r w:rsidRPr="008E0C1D">
        <w:rPr>
          <w:rFonts w:ascii="Times" w:hAnsi="Times"/>
          <w:color w:val="000000" w:themeColor="text1"/>
        </w:rPr>
        <w:t>, František Máliš</w:t>
      </w:r>
      <w:r w:rsidRPr="008E0C1D">
        <w:rPr>
          <w:rFonts w:ascii="Times" w:hAnsi="Times"/>
          <w:color w:val="000000" w:themeColor="text1"/>
          <w:vertAlign w:val="superscript"/>
        </w:rPr>
        <w:t>16</w:t>
      </w:r>
      <w:r w:rsidRPr="008E0C1D">
        <w:rPr>
          <w:rFonts w:ascii="Times" w:hAnsi="Times"/>
          <w:color w:val="000000" w:themeColor="text1"/>
        </w:rPr>
        <w:t>, Martin Macek</w:t>
      </w:r>
      <w:r w:rsidRPr="008E0C1D">
        <w:rPr>
          <w:rFonts w:ascii="Times" w:hAnsi="Times"/>
          <w:color w:val="000000" w:themeColor="text1"/>
          <w:vertAlign w:val="superscript"/>
        </w:rPr>
        <w:t>17</w:t>
      </w:r>
      <w:r w:rsidRPr="008E0C1D">
        <w:rPr>
          <w:rFonts w:ascii="Times" w:hAnsi="Times"/>
          <w:color w:val="000000" w:themeColor="text1"/>
        </w:rPr>
        <w:t>, Malicki Marek</w:t>
      </w:r>
      <w:r w:rsidRPr="008E0C1D">
        <w:rPr>
          <w:rFonts w:ascii="Times" w:hAnsi="Times"/>
          <w:color w:val="000000" w:themeColor="text1"/>
          <w:vertAlign w:val="superscript"/>
        </w:rPr>
        <w:t>18</w:t>
      </w:r>
      <w:r w:rsidRPr="008E0C1D">
        <w:rPr>
          <w:rFonts w:ascii="Times" w:hAnsi="Times"/>
          <w:color w:val="000000" w:themeColor="text1"/>
        </w:rPr>
        <w:t>, Tobias Naaf</w:t>
      </w:r>
      <w:r w:rsidRPr="008E0C1D">
        <w:rPr>
          <w:rFonts w:ascii="Times" w:hAnsi="Times"/>
          <w:color w:val="000000" w:themeColor="text1"/>
          <w:vertAlign w:val="superscript"/>
        </w:rPr>
        <w:t>19</w:t>
      </w:r>
      <w:r w:rsidRPr="008E0C1D">
        <w:rPr>
          <w:rFonts w:ascii="Times" w:hAnsi="Times"/>
          <w:color w:val="000000" w:themeColor="text1"/>
        </w:rPr>
        <w:t>, Thomas A. Nagel</w:t>
      </w:r>
      <w:r w:rsidRPr="008E0C1D">
        <w:rPr>
          <w:rFonts w:ascii="Times" w:hAnsi="Times"/>
          <w:color w:val="000000" w:themeColor="text1"/>
          <w:vertAlign w:val="superscript"/>
        </w:rPr>
        <w:t>20</w:t>
      </w:r>
      <w:r w:rsidRPr="008E0C1D">
        <w:rPr>
          <w:rFonts w:ascii="Times" w:hAnsi="Times"/>
          <w:color w:val="000000" w:themeColor="text1"/>
        </w:rPr>
        <w:t>, Adrienne Ortmann-Ajkai</w:t>
      </w:r>
      <w:r w:rsidRPr="008E0C1D">
        <w:rPr>
          <w:rFonts w:ascii="Times" w:hAnsi="Times"/>
          <w:color w:val="000000" w:themeColor="text1"/>
          <w:vertAlign w:val="superscript"/>
        </w:rPr>
        <w:t>21</w:t>
      </w:r>
      <w:r w:rsidRPr="008E0C1D">
        <w:rPr>
          <w:rFonts w:ascii="Times" w:hAnsi="Times"/>
          <w:color w:val="000000" w:themeColor="text1"/>
        </w:rPr>
        <w:t>, Petr Petřík</w:t>
      </w:r>
      <w:r w:rsidRPr="008E0C1D">
        <w:rPr>
          <w:rFonts w:ascii="Times" w:hAnsi="Times"/>
          <w:color w:val="000000" w:themeColor="text1"/>
          <w:vertAlign w:val="superscript"/>
        </w:rPr>
        <w:t>22</w:t>
      </w:r>
      <w:r w:rsidRPr="008E0C1D">
        <w:rPr>
          <w:rFonts w:ascii="Times" w:hAnsi="Times"/>
          <w:color w:val="000000" w:themeColor="text1"/>
        </w:rPr>
        <w:t>, Remigiusz Pielech</w:t>
      </w:r>
      <w:r w:rsidRPr="008E0C1D">
        <w:rPr>
          <w:rFonts w:ascii="Times" w:hAnsi="Times"/>
          <w:color w:val="000000" w:themeColor="text1"/>
          <w:vertAlign w:val="superscript"/>
        </w:rPr>
        <w:t>23</w:t>
      </w:r>
      <w:r w:rsidRPr="008E0C1D">
        <w:rPr>
          <w:rFonts w:ascii="Times" w:hAnsi="Times"/>
          <w:color w:val="000000" w:themeColor="text1"/>
        </w:rPr>
        <w:t>, Kamila Reczyńska</w:t>
      </w:r>
      <w:r w:rsidRPr="008E0C1D">
        <w:rPr>
          <w:rFonts w:ascii="Times" w:hAnsi="Times"/>
          <w:color w:val="000000" w:themeColor="text1"/>
          <w:vertAlign w:val="superscript"/>
        </w:rPr>
        <w:t>24</w:t>
      </w:r>
      <w:r w:rsidRPr="008E0C1D">
        <w:rPr>
          <w:rFonts w:ascii="Times" w:hAnsi="Times"/>
          <w:color w:val="000000" w:themeColor="text1"/>
        </w:rPr>
        <w:t>, Wolfgang Schmidt</w:t>
      </w:r>
      <w:r w:rsidRPr="008E0C1D">
        <w:rPr>
          <w:rFonts w:ascii="Times" w:hAnsi="Times"/>
          <w:color w:val="000000" w:themeColor="text1"/>
          <w:vertAlign w:val="superscript"/>
        </w:rPr>
        <w:t>25</w:t>
      </w:r>
      <w:r w:rsidRPr="008E0C1D">
        <w:rPr>
          <w:rFonts w:ascii="Times" w:hAnsi="Times"/>
          <w:color w:val="000000" w:themeColor="text1"/>
        </w:rPr>
        <w:t>, Tibor Standovár</w:t>
      </w:r>
      <w:r w:rsidRPr="008E0C1D">
        <w:rPr>
          <w:rFonts w:ascii="Times" w:hAnsi="Times"/>
          <w:color w:val="000000" w:themeColor="text1"/>
          <w:vertAlign w:val="superscript"/>
        </w:rPr>
        <w:t>26</w:t>
      </w:r>
      <w:r w:rsidRPr="008E0C1D">
        <w:rPr>
          <w:rFonts w:ascii="Times" w:hAnsi="Times"/>
          <w:color w:val="000000" w:themeColor="text1"/>
        </w:rPr>
        <w:t>, Krzysztof Świerkosz</w:t>
      </w:r>
      <w:r w:rsidRPr="008E0C1D">
        <w:rPr>
          <w:rFonts w:ascii="Times" w:hAnsi="Times"/>
          <w:color w:val="000000" w:themeColor="text1"/>
          <w:vertAlign w:val="superscript"/>
        </w:rPr>
        <w:t>27</w:t>
      </w:r>
      <w:r w:rsidRPr="008E0C1D">
        <w:rPr>
          <w:rFonts w:ascii="Times" w:hAnsi="Times"/>
          <w:color w:val="000000" w:themeColor="text1"/>
        </w:rPr>
        <w:t>, Balázs Teleki</w:t>
      </w:r>
      <w:r w:rsidRPr="008E0C1D">
        <w:rPr>
          <w:rFonts w:ascii="Times" w:hAnsi="Times"/>
          <w:color w:val="000000" w:themeColor="text1"/>
          <w:vertAlign w:val="superscript"/>
        </w:rPr>
        <w:t>28</w:t>
      </w:r>
      <w:r w:rsidRPr="008E0C1D">
        <w:rPr>
          <w:rFonts w:ascii="Times" w:hAnsi="Times"/>
          <w:color w:val="000000" w:themeColor="text1"/>
        </w:rPr>
        <w:t>, Ondřej Vild</w:t>
      </w:r>
      <w:r w:rsidRPr="008E0C1D">
        <w:rPr>
          <w:rFonts w:ascii="Times" w:hAnsi="Times"/>
          <w:color w:val="000000" w:themeColor="text1"/>
          <w:vertAlign w:val="superscript"/>
        </w:rPr>
        <w:t>10</w:t>
      </w:r>
      <w:r w:rsidRPr="008E0C1D">
        <w:rPr>
          <w:rFonts w:ascii="Times" w:hAnsi="Times"/>
          <w:color w:val="000000" w:themeColor="text1"/>
        </w:rPr>
        <w:t>, Monika Wulf</w:t>
      </w:r>
      <w:r w:rsidRPr="008E0C1D">
        <w:rPr>
          <w:rFonts w:ascii="Times" w:hAnsi="Times"/>
          <w:color w:val="000000" w:themeColor="text1"/>
          <w:vertAlign w:val="superscript"/>
        </w:rPr>
        <w:t>29</w:t>
      </w:r>
      <w:r w:rsidRPr="008E0C1D">
        <w:rPr>
          <w:rFonts w:ascii="Times" w:hAnsi="Times"/>
          <w:color w:val="000000" w:themeColor="text1"/>
        </w:rPr>
        <w:t>, David Coomes</w:t>
      </w:r>
      <w:r w:rsidRPr="008E0C1D">
        <w:rPr>
          <w:rFonts w:ascii="Times" w:hAnsi="Times"/>
          <w:color w:val="000000" w:themeColor="text1"/>
          <w:vertAlign w:val="superscript"/>
        </w:rPr>
        <w:t>1</w:t>
      </w:r>
    </w:p>
    <w:p w14:paraId="3D785260" w14:textId="77777777" w:rsidR="004428C2" w:rsidRPr="008E0C1D" w:rsidRDefault="004428C2" w:rsidP="004428C2">
      <w:pPr>
        <w:jc w:val="center"/>
        <w:rPr>
          <w:rFonts w:ascii="Times" w:hAnsi="Times"/>
          <w:color w:val="000000" w:themeColor="text1"/>
          <w:szCs w:val="24"/>
        </w:rPr>
      </w:pPr>
    </w:p>
    <w:p w14:paraId="4BFCF734" w14:textId="77777777" w:rsidR="004428C2" w:rsidRPr="008E0C1D" w:rsidRDefault="004428C2" w:rsidP="004428C2">
      <w:pPr>
        <w:jc w:val="center"/>
        <w:rPr>
          <w:rFonts w:ascii="Times" w:hAnsi="Times"/>
          <w:color w:val="000000" w:themeColor="text1"/>
          <w:szCs w:val="24"/>
        </w:rPr>
      </w:pPr>
      <w:r w:rsidRPr="008E0C1D">
        <w:rPr>
          <w:rFonts w:ascii="Times" w:hAnsi="Times"/>
          <w:color w:val="000000" w:themeColor="text1"/>
          <w:szCs w:val="24"/>
        </w:rPr>
        <w:t xml:space="preserve">Correspondence to: </w:t>
      </w:r>
      <w:hyperlink r:id="rId13" w:history="1">
        <w:r w:rsidRPr="008E0C1D">
          <w:rPr>
            <w:rStyle w:val="Hyperlink"/>
            <w:rFonts w:ascii="Times" w:hAnsi="Times"/>
            <w:color w:val="000000" w:themeColor="text1"/>
            <w:szCs w:val="24"/>
          </w:rPr>
          <w:t>florian.zellweger@wsl.ch</w:t>
        </w:r>
      </w:hyperlink>
    </w:p>
    <w:p w14:paraId="42A466EC" w14:textId="77777777" w:rsidR="004428C2" w:rsidRPr="008E0C1D" w:rsidRDefault="004428C2" w:rsidP="004428C2">
      <w:pPr>
        <w:rPr>
          <w:color w:val="000000" w:themeColor="text1"/>
        </w:rPr>
      </w:pPr>
    </w:p>
    <w:p w14:paraId="380D4E31" w14:textId="77777777" w:rsidR="004428C2" w:rsidRPr="008E0C1D" w:rsidRDefault="004428C2" w:rsidP="004428C2">
      <w:pPr>
        <w:rPr>
          <w:b/>
          <w:color w:val="000000" w:themeColor="text1"/>
        </w:rPr>
      </w:pPr>
    </w:p>
    <w:p w14:paraId="717D7B33" w14:textId="77777777" w:rsidR="004428C2" w:rsidRPr="008E0C1D" w:rsidRDefault="004428C2" w:rsidP="004428C2">
      <w:pPr>
        <w:rPr>
          <w:b/>
          <w:color w:val="000000" w:themeColor="text1"/>
        </w:rPr>
      </w:pPr>
      <w:r w:rsidRPr="008E0C1D">
        <w:rPr>
          <w:b/>
          <w:color w:val="000000" w:themeColor="text1"/>
        </w:rPr>
        <w:t>This PDF file includes:</w:t>
      </w:r>
    </w:p>
    <w:p w14:paraId="75EC45B7" w14:textId="77777777" w:rsidR="004428C2" w:rsidRPr="008E0C1D" w:rsidRDefault="004428C2" w:rsidP="004428C2">
      <w:pPr>
        <w:rPr>
          <w:color w:val="000000" w:themeColor="text1"/>
        </w:rPr>
      </w:pPr>
    </w:p>
    <w:p w14:paraId="043B76CB" w14:textId="77777777" w:rsidR="004428C2" w:rsidRPr="008E0C1D" w:rsidRDefault="004428C2" w:rsidP="004428C2">
      <w:pPr>
        <w:ind w:left="720"/>
        <w:rPr>
          <w:color w:val="000000" w:themeColor="text1"/>
        </w:rPr>
      </w:pPr>
      <w:r w:rsidRPr="008E0C1D">
        <w:rPr>
          <w:color w:val="000000" w:themeColor="text1"/>
        </w:rPr>
        <w:t>Materials and Methods</w:t>
      </w:r>
    </w:p>
    <w:p w14:paraId="78490037" w14:textId="77777777" w:rsidR="004428C2" w:rsidRPr="008E0C1D" w:rsidRDefault="004428C2" w:rsidP="004428C2">
      <w:pPr>
        <w:ind w:left="720"/>
        <w:rPr>
          <w:color w:val="000000" w:themeColor="text1"/>
        </w:rPr>
      </w:pPr>
      <w:r w:rsidRPr="008E0C1D">
        <w:rPr>
          <w:color w:val="000000" w:themeColor="text1"/>
        </w:rPr>
        <w:t>Figs. S1 to S10</w:t>
      </w:r>
    </w:p>
    <w:p w14:paraId="239A4035" w14:textId="77777777" w:rsidR="004428C2" w:rsidRPr="008E0C1D" w:rsidRDefault="004428C2" w:rsidP="004428C2">
      <w:pPr>
        <w:rPr>
          <w:color w:val="000000" w:themeColor="text1"/>
        </w:rPr>
      </w:pPr>
    </w:p>
    <w:p w14:paraId="6F9DFF67" w14:textId="77777777" w:rsidR="004428C2" w:rsidRPr="008E0C1D" w:rsidRDefault="004428C2" w:rsidP="004428C2">
      <w:pPr>
        <w:pStyle w:val="SMHeading"/>
        <w:rPr>
          <w:color w:val="000000" w:themeColor="text1"/>
        </w:rPr>
      </w:pPr>
      <w:r w:rsidRPr="008E0C1D">
        <w:rPr>
          <w:color w:val="000000" w:themeColor="text1"/>
        </w:rPr>
        <w:br w:type="page"/>
      </w:r>
      <w:bookmarkStart w:id="1" w:name="Tables"/>
      <w:bookmarkStart w:id="2" w:name="MaterialsMethods"/>
      <w:bookmarkEnd w:id="1"/>
      <w:bookmarkEnd w:id="2"/>
      <w:r w:rsidRPr="008E0C1D">
        <w:rPr>
          <w:color w:val="000000" w:themeColor="text1"/>
        </w:rPr>
        <w:lastRenderedPageBreak/>
        <w:t>Materials and Methods</w:t>
      </w:r>
    </w:p>
    <w:p w14:paraId="1B5BFD91" w14:textId="77777777" w:rsidR="004428C2" w:rsidRPr="008E0C1D" w:rsidRDefault="004428C2" w:rsidP="004428C2">
      <w:pPr>
        <w:pStyle w:val="SMSubheading"/>
        <w:rPr>
          <w:color w:val="000000" w:themeColor="text1"/>
        </w:rPr>
      </w:pPr>
      <w:r w:rsidRPr="008E0C1D">
        <w:rPr>
          <w:color w:val="000000" w:themeColor="text1"/>
        </w:rPr>
        <w:t>Methods</w:t>
      </w:r>
    </w:p>
    <w:p w14:paraId="331B73ED" w14:textId="77777777" w:rsidR="004428C2" w:rsidRPr="008E0C1D" w:rsidRDefault="004428C2" w:rsidP="004428C2">
      <w:pPr>
        <w:pStyle w:val="SMSubheading"/>
        <w:rPr>
          <w:color w:val="000000" w:themeColor="text1"/>
        </w:rPr>
      </w:pPr>
    </w:p>
    <w:p w14:paraId="3F3B132E" w14:textId="77777777" w:rsidR="004428C2" w:rsidRPr="008E0C1D" w:rsidRDefault="004428C2" w:rsidP="004428C2">
      <w:pPr>
        <w:rPr>
          <w:color w:val="000000" w:themeColor="text1"/>
        </w:rPr>
      </w:pPr>
      <w:r w:rsidRPr="008E0C1D">
        <w:rPr>
          <w:color w:val="000000" w:themeColor="text1"/>
        </w:rPr>
        <w:t>Vegetation surveys</w:t>
      </w:r>
    </w:p>
    <w:p w14:paraId="585B9B82" w14:textId="77777777" w:rsidR="004428C2" w:rsidRPr="008E0C1D" w:rsidRDefault="004428C2" w:rsidP="004428C2">
      <w:pPr>
        <w:rPr>
          <w:color w:val="000000" w:themeColor="text1"/>
        </w:rPr>
      </w:pPr>
    </w:p>
    <w:p w14:paraId="4D69B539" w14:textId="77777777" w:rsidR="004428C2" w:rsidRPr="008E0C1D" w:rsidRDefault="004428C2" w:rsidP="004428C2">
      <w:pPr>
        <w:rPr>
          <w:color w:val="000000" w:themeColor="text1"/>
        </w:rPr>
      </w:pPr>
      <w:r w:rsidRPr="008E0C1D">
        <w:rPr>
          <w:color w:val="000000" w:themeColor="text1"/>
        </w:rPr>
        <w:t>We used data from a resurveyed vegetation plot network across deciduous temperate forests in Europe (</w:t>
      </w:r>
      <w:hyperlink r:id="rId14">
        <w:r w:rsidRPr="008E0C1D">
          <w:rPr>
            <w:color w:val="000000" w:themeColor="text1"/>
            <w:u w:val="single"/>
          </w:rPr>
          <w:t>www.forestreplot.ugent.be</w:t>
        </w:r>
      </w:hyperlink>
      <w:r w:rsidRPr="008E0C1D">
        <w:rPr>
          <w:color w:val="000000" w:themeColor="text1"/>
        </w:rPr>
        <w:t xml:space="preserve">) </w:t>
      </w:r>
      <w:r w:rsidRPr="008E0C1D">
        <w:rPr>
          <w:noProof/>
          <w:color w:val="000000" w:themeColor="text1"/>
        </w:rPr>
        <w:t>(</w:t>
      </w:r>
      <w:r w:rsidRPr="008E0C1D">
        <w:rPr>
          <w:i/>
          <w:noProof/>
          <w:color w:val="000000" w:themeColor="text1"/>
        </w:rPr>
        <w:t>35</w:t>
      </w:r>
      <w:r w:rsidRPr="008E0C1D">
        <w:rPr>
          <w:noProof/>
          <w:color w:val="000000" w:themeColor="text1"/>
        </w:rPr>
        <w:t>)</w:t>
      </w:r>
      <w:r w:rsidRPr="008E0C1D">
        <w:rPr>
          <w:color w:val="000000" w:themeColor="text1"/>
        </w:rPr>
        <w:t xml:space="preserve"> (Fig. 1A). Each of the 2955 permanent or quasi-permanent plots belongs to one of 56 studied regions and has been surveyed at two time points, i.e., during the baseline and resurvey years between 1934 and 2017 (Fig. 1A; Supplementary Fig. S1). The median time interval between the baseline survey and the resurvey was 38, ranging from 12 to 66 years, which is sufficient to detect directional change in the forest understorey layer </w:t>
      </w:r>
      <w:r w:rsidRPr="008E0C1D">
        <w:rPr>
          <w:noProof/>
          <w:color w:val="000000" w:themeColor="text1"/>
          <w:lang w:val="en-GB"/>
        </w:rPr>
        <w:t>(</w:t>
      </w:r>
      <w:r w:rsidRPr="008E0C1D">
        <w:rPr>
          <w:i/>
          <w:noProof/>
          <w:color w:val="000000" w:themeColor="text1"/>
          <w:lang w:val="en-GB"/>
        </w:rPr>
        <w:t>14</w:t>
      </w:r>
      <w:r w:rsidRPr="008E0C1D">
        <w:rPr>
          <w:noProof/>
          <w:color w:val="000000" w:themeColor="text1"/>
          <w:lang w:val="en-GB"/>
        </w:rPr>
        <w:t>)</w:t>
      </w:r>
      <w:r w:rsidRPr="008E0C1D">
        <w:rPr>
          <w:color w:val="000000" w:themeColor="text1"/>
        </w:rPr>
        <w:t xml:space="preserve">. All plots are located in ancient (never cleared for any other land use than forest since the oldest available sources such as maps, typically at least 150-300 years </w:t>
      </w:r>
      <w:r w:rsidRPr="008E0C1D">
        <w:rPr>
          <w:noProof/>
          <w:color w:val="000000" w:themeColor="text1"/>
        </w:rPr>
        <w:t>(</w:t>
      </w:r>
      <w:r w:rsidRPr="008E0C1D">
        <w:rPr>
          <w:i/>
          <w:noProof/>
          <w:color w:val="000000" w:themeColor="text1"/>
        </w:rPr>
        <w:t>36</w:t>
      </w:r>
      <w:r w:rsidRPr="008E0C1D">
        <w:rPr>
          <w:noProof/>
          <w:color w:val="000000" w:themeColor="text1"/>
        </w:rPr>
        <w:t>)</w:t>
      </w:r>
      <w:r w:rsidRPr="008E0C1D">
        <w:rPr>
          <w:color w:val="000000" w:themeColor="text1"/>
        </w:rPr>
        <w:t xml:space="preserve">) semi-natural forests </w:t>
      </w:r>
      <w:r w:rsidRPr="008E0C1D">
        <w:rPr>
          <w:noProof/>
          <w:color w:val="000000" w:themeColor="text1"/>
          <w:lang w:val="en-GB"/>
        </w:rPr>
        <w:t>(</w:t>
      </w:r>
      <w:r w:rsidRPr="008E0C1D">
        <w:rPr>
          <w:i/>
          <w:noProof/>
          <w:color w:val="000000" w:themeColor="text1"/>
          <w:lang w:val="en-GB"/>
        </w:rPr>
        <w:t>37</w:t>
      </w:r>
      <w:r w:rsidRPr="008E0C1D">
        <w:rPr>
          <w:noProof/>
          <w:color w:val="000000" w:themeColor="text1"/>
          <w:lang w:val="en-GB"/>
        </w:rPr>
        <w:t>)</w:t>
      </w:r>
      <w:r w:rsidRPr="008E0C1D">
        <w:rPr>
          <w:color w:val="000000" w:themeColor="text1"/>
        </w:rPr>
        <w:t xml:space="preserve"> (e.g., excluding fertilized and heavily managed plantations). Between the two surveys, none of the plots have been subject to clearcutting and/or replanting. All plots were either permanently marked (i.e. physical mark permanently visible in the field, such as labelled trees) or quasi-permanent (i.e. with known and precise coordinates for subsequent relocation) and the plot sizes ranged between 25 and 1300 m</w:t>
      </w:r>
      <w:r w:rsidRPr="008E0C1D">
        <w:rPr>
          <w:color w:val="000000" w:themeColor="text1"/>
          <w:vertAlign w:val="superscript"/>
        </w:rPr>
        <w:t>2</w:t>
      </w:r>
      <w:r w:rsidRPr="008E0C1D">
        <w:rPr>
          <w:color w:val="000000" w:themeColor="text1"/>
        </w:rPr>
        <w:t xml:space="preserve"> (for more information about the plots see Refs </w:t>
      </w:r>
      <w:r w:rsidRPr="008E0C1D">
        <w:rPr>
          <w:noProof/>
          <w:color w:val="000000" w:themeColor="text1"/>
        </w:rPr>
        <w:t>(</w:t>
      </w:r>
      <w:r w:rsidRPr="008E0C1D">
        <w:rPr>
          <w:i/>
          <w:noProof/>
          <w:color w:val="000000" w:themeColor="text1"/>
        </w:rPr>
        <w:t>14</w:t>
      </w:r>
      <w:r w:rsidRPr="008E0C1D">
        <w:rPr>
          <w:noProof/>
          <w:color w:val="000000" w:themeColor="text1"/>
        </w:rPr>
        <w:t xml:space="preserve">, </w:t>
      </w:r>
      <w:r w:rsidRPr="008E0C1D">
        <w:rPr>
          <w:i/>
          <w:noProof/>
          <w:color w:val="000000" w:themeColor="text1"/>
        </w:rPr>
        <w:t>35</w:t>
      </w:r>
      <w:r w:rsidRPr="008E0C1D">
        <w:rPr>
          <w:noProof/>
          <w:color w:val="000000" w:themeColor="text1"/>
        </w:rPr>
        <w:t xml:space="preserve">, </w:t>
      </w:r>
      <w:r w:rsidRPr="008E0C1D">
        <w:rPr>
          <w:i/>
          <w:noProof/>
          <w:color w:val="000000" w:themeColor="text1"/>
        </w:rPr>
        <w:t>38</w:t>
      </w:r>
      <w:r w:rsidRPr="008E0C1D">
        <w:rPr>
          <w:noProof/>
          <w:color w:val="000000" w:themeColor="text1"/>
        </w:rPr>
        <w:t xml:space="preserve">, </w:t>
      </w:r>
      <w:r w:rsidRPr="008E0C1D">
        <w:rPr>
          <w:i/>
          <w:noProof/>
          <w:color w:val="000000" w:themeColor="text1"/>
        </w:rPr>
        <w:t>39</w:t>
      </w:r>
      <w:r w:rsidRPr="008E0C1D">
        <w:rPr>
          <w:noProof/>
          <w:color w:val="000000" w:themeColor="text1"/>
        </w:rPr>
        <w:t>)</w:t>
      </w:r>
      <w:r w:rsidRPr="008E0C1D">
        <w:rPr>
          <w:color w:val="000000" w:themeColor="text1"/>
        </w:rPr>
        <w:t xml:space="preserve">). Plot size was neither related to the rate of microclimate change, nor to the thermophilisation rate, nor to the climatic debt (mixed effects models; all </w:t>
      </w:r>
      <w:r w:rsidRPr="008E0C1D">
        <w:rPr>
          <w:i/>
          <w:color w:val="000000" w:themeColor="text1"/>
        </w:rPr>
        <w:t>P</w:t>
      </w:r>
      <w:r w:rsidRPr="008E0C1D">
        <w:rPr>
          <w:color w:val="000000" w:themeColor="text1"/>
        </w:rPr>
        <w:t xml:space="preserve"> &gt; 0.05), suggesting that plot size did not affect our findings and conclusions. All vegetation surveys were performed during the peak of the vegetation season. We used complete understorey (below 1m) vascular plant species lists and determined canopy cover (sum of the visually estimated tree (&gt; 7m) and shrub (1 - 7m) species’ canopy cover in percentage per species) changes over time for each plot (Supplementary Fig. S3) </w:t>
      </w:r>
      <w:r w:rsidRPr="008E0C1D">
        <w:rPr>
          <w:noProof/>
          <w:color w:val="000000" w:themeColor="text1"/>
        </w:rPr>
        <w:t>(</w:t>
      </w:r>
      <w:r w:rsidRPr="008E0C1D">
        <w:rPr>
          <w:i/>
          <w:noProof/>
          <w:color w:val="000000" w:themeColor="text1"/>
        </w:rPr>
        <w:t>14</w:t>
      </w:r>
      <w:r w:rsidRPr="008E0C1D">
        <w:rPr>
          <w:noProof/>
          <w:color w:val="000000" w:themeColor="text1"/>
        </w:rPr>
        <w:t>)</w:t>
      </w:r>
      <w:r w:rsidRPr="008E0C1D">
        <w:rPr>
          <w:color w:val="000000" w:themeColor="text1"/>
        </w:rPr>
        <w:t xml:space="preserve">. Changes in canopy cover occurred due to both natural as well as anthropogenic causes, and showed no geographic pattern, which is in line with the fact that the forests considered here are mostly subject to small-scale disturbances. Note that our estimate of canopy cover is commonly larger than 100 % because tree and shrub canopies tend to significantly overlap </w:t>
      </w:r>
      <w:r w:rsidRPr="008E0C1D">
        <w:rPr>
          <w:noProof/>
          <w:color w:val="000000" w:themeColor="text1"/>
        </w:rPr>
        <w:t>(</w:t>
      </w:r>
      <w:r w:rsidRPr="008E0C1D">
        <w:rPr>
          <w:i/>
          <w:noProof/>
          <w:color w:val="000000" w:themeColor="text1"/>
        </w:rPr>
        <w:t>14</w:t>
      </w:r>
      <w:r w:rsidRPr="008E0C1D">
        <w:rPr>
          <w:noProof/>
          <w:color w:val="000000" w:themeColor="text1"/>
        </w:rPr>
        <w:t>)</w:t>
      </w:r>
      <w:r w:rsidRPr="008E0C1D">
        <w:rPr>
          <w:color w:val="000000" w:themeColor="text1"/>
        </w:rPr>
        <w:t xml:space="preserve">. Taking into account this overlap is important to calculate the microclimate buffering </w:t>
      </w:r>
      <w:r w:rsidRPr="008E0C1D">
        <w:rPr>
          <w:noProof/>
          <w:color w:val="000000" w:themeColor="text1"/>
        </w:rPr>
        <w:t>(</w:t>
      </w:r>
      <w:r w:rsidRPr="008E0C1D">
        <w:rPr>
          <w:i/>
          <w:noProof/>
          <w:color w:val="000000" w:themeColor="text1"/>
        </w:rPr>
        <w:t>21</w:t>
      </w:r>
      <w:r w:rsidRPr="008E0C1D">
        <w:rPr>
          <w:noProof/>
          <w:color w:val="000000" w:themeColor="text1"/>
        </w:rPr>
        <w:t>)</w:t>
      </w:r>
      <w:r w:rsidRPr="008E0C1D">
        <w:rPr>
          <w:color w:val="000000" w:themeColor="text1"/>
        </w:rPr>
        <w:t>. The total number of vascular plant (tree, shrub, graminoid, forb and fern) species recorded in the 2955 plots and over both the baseline survey and the resurvey was 1292.</w:t>
      </w:r>
    </w:p>
    <w:p w14:paraId="6B5A343B" w14:textId="77777777" w:rsidR="004428C2" w:rsidRPr="008E0C1D" w:rsidRDefault="004428C2" w:rsidP="004428C2">
      <w:pPr>
        <w:rPr>
          <w:color w:val="000000" w:themeColor="text1"/>
        </w:rPr>
      </w:pPr>
    </w:p>
    <w:p w14:paraId="7E92A42E" w14:textId="77777777" w:rsidR="004428C2" w:rsidRPr="008E0C1D" w:rsidRDefault="004428C2" w:rsidP="004428C2">
      <w:pPr>
        <w:rPr>
          <w:color w:val="000000" w:themeColor="text1"/>
        </w:rPr>
      </w:pPr>
      <w:r w:rsidRPr="008E0C1D">
        <w:rPr>
          <w:color w:val="000000" w:themeColor="text1"/>
        </w:rPr>
        <w:t>Macroclimate temperature data</w:t>
      </w:r>
    </w:p>
    <w:p w14:paraId="5AB17684" w14:textId="77777777" w:rsidR="004428C2" w:rsidRPr="008E0C1D" w:rsidRDefault="004428C2" w:rsidP="004428C2">
      <w:pPr>
        <w:rPr>
          <w:color w:val="000000" w:themeColor="text1"/>
        </w:rPr>
      </w:pPr>
    </w:p>
    <w:p w14:paraId="651C7EE4" w14:textId="77777777" w:rsidR="004428C2" w:rsidRPr="008E0C1D" w:rsidRDefault="004428C2" w:rsidP="004428C2">
      <w:pPr>
        <w:rPr>
          <w:color w:val="000000" w:themeColor="text1"/>
        </w:rPr>
      </w:pPr>
      <w:r w:rsidRPr="008E0C1D">
        <w:rPr>
          <w:color w:val="000000" w:themeColor="text1"/>
        </w:rPr>
        <w:t xml:space="preserve">To quantify the rate of macroclimatic temperature change between the baseline survey and the resurvey, we obtained monthly mean maximum temperature data during summer (June, July, August). Two sources of interpolated data were used: TerraClimate </w:t>
      </w:r>
      <w:r w:rsidRPr="008E0C1D">
        <w:rPr>
          <w:noProof/>
          <w:color w:val="000000" w:themeColor="text1"/>
          <w:lang w:val="en-GB"/>
        </w:rPr>
        <w:t>(</w:t>
      </w:r>
      <w:r w:rsidRPr="008E0C1D">
        <w:rPr>
          <w:i/>
          <w:noProof/>
          <w:color w:val="000000" w:themeColor="text1"/>
          <w:lang w:val="en-GB"/>
        </w:rPr>
        <w:t>40</w:t>
      </w:r>
      <w:r w:rsidRPr="008E0C1D">
        <w:rPr>
          <w:noProof/>
          <w:color w:val="000000" w:themeColor="text1"/>
          <w:lang w:val="en-GB"/>
        </w:rPr>
        <w:t>)</w:t>
      </w:r>
      <w:r w:rsidRPr="008E0C1D">
        <w:rPr>
          <w:color w:val="000000" w:themeColor="text1"/>
        </w:rPr>
        <w:t xml:space="preserve"> and data from the Climatic Research Unit (CRU, TS v.4.03) </w:t>
      </w:r>
      <w:r w:rsidRPr="008E0C1D">
        <w:rPr>
          <w:noProof/>
          <w:color w:val="000000" w:themeColor="text1"/>
          <w:lang w:val="en-GB"/>
        </w:rPr>
        <w:t>(</w:t>
      </w:r>
      <w:r w:rsidRPr="008E0C1D">
        <w:rPr>
          <w:i/>
          <w:noProof/>
          <w:color w:val="000000" w:themeColor="text1"/>
          <w:lang w:val="en-GB"/>
        </w:rPr>
        <w:t>41</w:t>
      </w:r>
      <w:r w:rsidRPr="008E0C1D">
        <w:rPr>
          <w:noProof/>
          <w:color w:val="000000" w:themeColor="text1"/>
          <w:lang w:val="en-GB"/>
        </w:rPr>
        <w:t>)</w:t>
      </w:r>
      <w:r w:rsidRPr="008E0C1D">
        <w:rPr>
          <w:color w:val="000000" w:themeColor="text1"/>
        </w:rPr>
        <w:t>. The TerraClimate dataset provides monthly climate data for global terrestrial surfaces</w:t>
      </w:r>
      <w:r w:rsidRPr="008E0C1D" w:rsidDel="00301391">
        <w:rPr>
          <w:color w:val="000000" w:themeColor="text1"/>
        </w:rPr>
        <w:t xml:space="preserve"> </w:t>
      </w:r>
      <w:r w:rsidRPr="008E0C1D">
        <w:rPr>
          <w:color w:val="000000" w:themeColor="text1"/>
        </w:rPr>
        <w:t xml:space="preserve">over the period 1958-2017 at a spatial resolution of 1/24 ° (ca. 4 km at the equator), and has been shown to improve coarser resolution gridded dataset </w:t>
      </w:r>
      <w:r w:rsidRPr="008E0C1D">
        <w:rPr>
          <w:noProof/>
          <w:color w:val="000000" w:themeColor="text1"/>
          <w:lang w:val="en-GB"/>
        </w:rPr>
        <w:t>(</w:t>
      </w:r>
      <w:r w:rsidRPr="008E0C1D">
        <w:rPr>
          <w:i/>
          <w:noProof/>
          <w:color w:val="000000" w:themeColor="text1"/>
          <w:lang w:val="en-GB"/>
        </w:rPr>
        <w:t>40</w:t>
      </w:r>
      <w:r w:rsidRPr="008E0C1D">
        <w:rPr>
          <w:noProof/>
          <w:color w:val="000000" w:themeColor="text1"/>
          <w:lang w:val="en-GB"/>
        </w:rPr>
        <w:t>)</w:t>
      </w:r>
      <w:r w:rsidRPr="008E0C1D">
        <w:rPr>
          <w:color w:val="000000" w:themeColor="text1"/>
        </w:rPr>
        <w:t xml:space="preserve">. We therefore here use TerraClimate data rather than the CRU data. However, in 251 (7.3%) out of the 2955 permanent or quasi-permanent plots, the baseline survey was performed prior to 1958, when no TerraClimate data was available. In these cases only, we had to use the CRU data, which provides updated gridded climate datasets at a spatial resolution of 0.5 ° (ca. 50 km at the equator) since 1901, based on monthly observations at meteorological stations across the world’s land areas. For each plot, we calculated the rate of maximum temperature change between the baseline survey and the resurvey (expressed in degrees Celsius per decade) as the difference between the average summer maximum temperature during the 5 years preceding the baseline survey and the resurvey, divided by the time interval between the baseline survey and the resurvey </w:t>
      </w:r>
      <w:r w:rsidRPr="008E0C1D">
        <w:rPr>
          <w:noProof/>
          <w:color w:val="000000" w:themeColor="text1"/>
          <w:lang w:val="en-GB"/>
        </w:rPr>
        <w:t>(</w:t>
      </w:r>
      <w:r w:rsidRPr="008E0C1D">
        <w:rPr>
          <w:i/>
          <w:noProof/>
          <w:color w:val="000000" w:themeColor="text1"/>
          <w:lang w:val="en-GB"/>
        </w:rPr>
        <w:t>14</w:t>
      </w:r>
      <w:r w:rsidRPr="008E0C1D">
        <w:rPr>
          <w:noProof/>
          <w:color w:val="000000" w:themeColor="text1"/>
          <w:lang w:val="en-GB"/>
        </w:rPr>
        <w:t>)</w:t>
      </w:r>
      <w:r w:rsidRPr="008E0C1D">
        <w:rPr>
          <w:color w:val="000000" w:themeColor="text1"/>
        </w:rPr>
        <w:t>. The resulting distribution of rates in macroclimate change is presented in Supplementary Fig. S4. The use of the coarser-gridded CRU data (i.e. analysing plot-level changes with complete TerraClimate data coverage only) did not affect our results (see section Sensitivity analyses).</w:t>
      </w:r>
    </w:p>
    <w:p w14:paraId="113CE1F9" w14:textId="77777777" w:rsidR="004428C2" w:rsidRPr="008E0C1D" w:rsidRDefault="004428C2" w:rsidP="004428C2">
      <w:pPr>
        <w:rPr>
          <w:color w:val="000000" w:themeColor="text1"/>
        </w:rPr>
      </w:pPr>
    </w:p>
    <w:p w14:paraId="67B5CB92" w14:textId="77777777" w:rsidR="004428C2" w:rsidRPr="008E0C1D" w:rsidRDefault="004428C2" w:rsidP="004428C2">
      <w:pPr>
        <w:rPr>
          <w:color w:val="000000" w:themeColor="text1"/>
        </w:rPr>
      </w:pPr>
      <w:r w:rsidRPr="008E0C1D">
        <w:rPr>
          <w:color w:val="000000" w:themeColor="text1"/>
        </w:rPr>
        <w:t>Microclimate temperature measurements and buffering effect</w:t>
      </w:r>
    </w:p>
    <w:p w14:paraId="444F9022" w14:textId="77777777" w:rsidR="004428C2" w:rsidRPr="008E0C1D" w:rsidRDefault="004428C2" w:rsidP="004428C2">
      <w:pPr>
        <w:rPr>
          <w:color w:val="000000" w:themeColor="text1"/>
        </w:rPr>
      </w:pPr>
    </w:p>
    <w:p w14:paraId="3B593800" w14:textId="77777777" w:rsidR="004428C2" w:rsidRPr="008E0C1D" w:rsidRDefault="004428C2" w:rsidP="004428C2">
      <w:pPr>
        <w:rPr>
          <w:color w:val="000000" w:themeColor="text1"/>
        </w:rPr>
      </w:pPr>
      <w:r w:rsidRPr="008E0C1D">
        <w:rPr>
          <w:color w:val="000000" w:themeColor="text1"/>
        </w:rPr>
        <w:t xml:space="preserve">To representatively sample microclimate in our resurveyed vegetation plot network, we selected 10 regions in each of which we selected 10 forest stands along a gradient of canopy cover, from dense and closed canopy to open. The resulting sample size was n = 96 (four out of 100 loggers got damaged or stolen). In each stand, we recorded sub-canopy air temperature every hour for a full year (22 February 2017 to 21 February 2018), using Lascar EasyLog EL-USB-1 temperature logger devices with an accuracy of +/- 0.5° Celsius. The loggers were shielded in white, ventilated PVC shields and attached to the north side of a tree trunk (DBH &gt; 25 cm) to prevent exposure to direct </w:t>
      </w:r>
      <w:r w:rsidRPr="008E0C1D">
        <w:rPr>
          <w:color w:val="000000" w:themeColor="text1"/>
        </w:rPr>
        <w:lastRenderedPageBreak/>
        <w:t xml:space="preserve">sunlight, at 1 m above the ground. The hourly temperature data were then aggregated to daily maximum temperatures, and retained for the summer months June, July and August. More details on the methods can be found in Zellweger et al. </w:t>
      </w:r>
      <w:r w:rsidRPr="008E0C1D">
        <w:rPr>
          <w:noProof/>
          <w:color w:val="000000" w:themeColor="text1"/>
        </w:rPr>
        <w:t>(</w:t>
      </w:r>
      <w:r w:rsidRPr="008E0C1D">
        <w:rPr>
          <w:i/>
          <w:noProof/>
          <w:color w:val="000000" w:themeColor="text1"/>
        </w:rPr>
        <w:t>21</w:t>
      </w:r>
      <w:r w:rsidRPr="008E0C1D">
        <w:rPr>
          <w:noProof/>
          <w:color w:val="000000" w:themeColor="text1"/>
        </w:rPr>
        <w:t>)</w:t>
      </w:r>
    </w:p>
    <w:p w14:paraId="68C6350F" w14:textId="77777777" w:rsidR="004428C2" w:rsidRPr="008E0C1D" w:rsidRDefault="004428C2" w:rsidP="004428C2">
      <w:pPr>
        <w:ind w:firstLine="720"/>
        <w:rPr>
          <w:color w:val="000000" w:themeColor="text1"/>
        </w:rPr>
      </w:pPr>
      <w:r w:rsidRPr="008E0C1D">
        <w:rPr>
          <w:color w:val="000000" w:themeColor="text1"/>
        </w:rPr>
        <w:t xml:space="preserve">Maximum temperatures during summer are often considerably lower inside forests than outside, owing to the temperature buffering (or offset) effect of the trees and shrubs </w:t>
      </w:r>
      <w:r w:rsidRPr="008E0C1D">
        <w:rPr>
          <w:noProof/>
          <w:color w:val="000000" w:themeColor="text1"/>
          <w:lang w:val="en-GB"/>
        </w:rPr>
        <w:t>(</w:t>
      </w:r>
      <w:r w:rsidRPr="008E0C1D">
        <w:rPr>
          <w:i/>
          <w:noProof/>
          <w:color w:val="000000" w:themeColor="text1"/>
          <w:lang w:val="en-GB"/>
        </w:rPr>
        <w:t>9</w:t>
      </w:r>
      <w:r w:rsidRPr="008E0C1D">
        <w:rPr>
          <w:noProof/>
          <w:color w:val="000000" w:themeColor="text1"/>
          <w:lang w:val="en-GB"/>
        </w:rPr>
        <w:t>)</w:t>
      </w:r>
      <w:r w:rsidRPr="008E0C1D">
        <w:rPr>
          <w:color w:val="000000" w:themeColor="text1"/>
        </w:rPr>
        <w:t xml:space="preserve">. To quantify the degree to which the canopy cover buffers free-air (macroclimate) maximum temperatures in our 96 stands, we compared our microclimate data to the daily maximum temperatures measured at an official weather station closest to each plot. The temperature buffering is thus expressed as the microclimate maximum temperature minus the macroclimate maximum temperature. This analysis revealed a positive, non-linear relationship between temperature buffering and canopy cover (Supplementary Fig. S2) </w:t>
      </w:r>
      <w:r w:rsidRPr="008E0C1D">
        <w:rPr>
          <w:noProof/>
          <w:color w:val="000000" w:themeColor="text1"/>
        </w:rPr>
        <w:t>(</w:t>
      </w:r>
      <w:r w:rsidRPr="008E0C1D">
        <w:rPr>
          <w:i/>
          <w:noProof/>
          <w:color w:val="000000" w:themeColor="text1"/>
        </w:rPr>
        <w:t>21</w:t>
      </w:r>
      <w:r w:rsidRPr="008E0C1D">
        <w:rPr>
          <w:noProof/>
          <w:color w:val="000000" w:themeColor="text1"/>
        </w:rPr>
        <w:t>)</w:t>
      </w:r>
      <w:r w:rsidRPr="008E0C1D">
        <w:rPr>
          <w:color w:val="000000" w:themeColor="text1"/>
        </w:rPr>
        <w:t>. Based on cross-validation procedure, we found that combining canopy cover with distance to the coast to predict the maximum temperature buffering resulted in an improved predictive accuracy with R-squared and Root Mean Square Error (RMSE) values of 0.33 and 0.92, respectively (the R-squared value of the full model, without splitting the data for independent cross-validation, was 0.38). Distance to the nearest coastline was extracted for each plot</w:t>
      </w:r>
      <w:r w:rsidRPr="008E0C1D">
        <w:rPr>
          <w:color w:val="000000" w:themeColor="text1"/>
          <w:szCs w:val="24"/>
        </w:rPr>
        <w:t>, using free vector map data</w:t>
      </w:r>
      <w:r w:rsidRPr="008E0C1D">
        <w:rPr>
          <w:rStyle w:val="Funotenzeichen"/>
          <w:color w:val="000000" w:themeColor="text1"/>
          <w:szCs w:val="24"/>
        </w:rPr>
        <w:footnoteReference w:id="2"/>
      </w:r>
      <w:r w:rsidRPr="008E0C1D">
        <w:rPr>
          <w:color w:val="000000" w:themeColor="text1"/>
          <w:szCs w:val="24"/>
        </w:rPr>
        <w:t xml:space="preserve">. </w:t>
      </w:r>
      <w:r w:rsidRPr="008E0C1D">
        <w:rPr>
          <w:color w:val="000000" w:themeColor="text1"/>
        </w:rPr>
        <w:t xml:space="preserve">Adding topographic variables such as elevation, topographic position or slope did not improve the predictive accuracy of the model, which is attributable to the fact that local canopy cover and associated shading may mainly control the local maximum temperature buffering in the primarily lowland forests considered here (median, </w:t>
      </w:r>
      <w:r w:rsidRPr="008E0C1D">
        <w:rPr>
          <w:color w:val="000000" w:themeColor="text1"/>
          <w:szCs w:val="24"/>
        </w:rPr>
        <w:t>1</w:t>
      </w:r>
      <w:r w:rsidRPr="008E0C1D">
        <w:rPr>
          <w:color w:val="000000" w:themeColor="text1"/>
          <w:szCs w:val="24"/>
          <w:vertAlign w:val="superscript"/>
        </w:rPr>
        <w:t>st</w:t>
      </w:r>
      <w:r w:rsidRPr="008E0C1D">
        <w:rPr>
          <w:color w:val="000000" w:themeColor="text1"/>
          <w:szCs w:val="24"/>
        </w:rPr>
        <w:t xml:space="preserve"> and 99</w:t>
      </w:r>
      <w:r w:rsidRPr="008E0C1D">
        <w:rPr>
          <w:color w:val="000000" w:themeColor="text1"/>
          <w:szCs w:val="24"/>
          <w:vertAlign w:val="superscript"/>
        </w:rPr>
        <w:t>th</w:t>
      </w:r>
      <w:r w:rsidRPr="008E0C1D">
        <w:rPr>
          <w:color w:val="000000" w:themeColor="text1"/>
          <w:szCs w:val="24"/>
        </w:rPr>
        <w:t xml:space="preserve"> percentile elevation: 325, 16 and 1110 meters above sea level)</w:t>
      </w:r>
      <w:r w:rsidRPr="008E0C1D">
        <w:rPr>
          <w:color w:val="000000" w:themeColor="text1"/>
        </w:rPr>
        <w:t xml:space="preserve"> </w:t>
      </w:r>
      <w:r w:rsidRPr="008E0C1D">
        <w:rPr>
          <w:noProof/>
          <w:color w:val="000000" w:themeColor="text1"/>
        </w:rPr>
        <w:t>(</w:t>
      </w:r>
      <w:r w:rsidRPr="008E0C1D">
        <w:rPr>
          <w:i/>
          <w:noProof/>
          <w:color w:val="000000" w:themeColor="text1"/>
        </w:rPr>
        <w:t>21</w:t>
      </w:r>
      <w:r w:rsidRPr="008E0C1D">
        <w:rPr>
          <w:noProof/>
          <w:color w:val="000000" w:themeColor="text1"/>
        </w:rPr>
        <w:t>)</w:t>
      </w:r>
      <w:r w:rsidRPr="008E0C1D">
        <w:rPr>
          <w:color w:val="000000" w:themeColor="text1"/>
        </w:rPr>
        <w:t xml:space="preserve">. The predictive accuracy with R-squared and Root Mean Square Error (RMSE) of the model solely based on canopy cover was 0.16 and 1.02, respectively. We applied a conservative cross-validation procedure with blocked data splitting, accounting for our hierarchical sampling design (‘region’ as a random effect) </w:t>
      </w:r>
      <w:r w:rsidRPr="008E0C1D">
        <w:rPr>
          <w:noProof/>
          <w:color w:val="000000" w:themeColor="text1"/>
          <w:lang w:val="en-GB"/>
        </w:rPr>
        <w:t>(</w:t>
      </w:r>
      <w:r w:rsidRPr="008E0C1D">
        <w:rPr>
          <w:i/>
          <w:noProof/>
          <w:color w:val="000000" w:themeColor="text1"/>
          <w:lang w:val="en-GB"/>
        </w:rPr>
        <w:t>42</w:t>
      </w:r>
      <w:r w:rsidRPr="008E0C1D">
        <w:rPr>
          <w:noProof/>
          <w:color w:val="000000" w:themeColor="text1"/>
          <w:lang w:val="en-GB"/>
        </w:rPr>
        <w:t>)</w:t>
      </w:r>
      <w:r w:rsidRPr="008E0C1D">
        <w:rPr>
          <w:color w:val="000000" w:themeColor="text1"/>
        </w:rPr>
        <w:t>. To this end, we calibrated ten different models, each of which was calibrated using the data from nine regions, and validated based on the predictions made to the 10th, left-out region.</w:t>
      </w:r>
    </w:p>
    <w:p w14:paraId="16EE7138" w14:textId="77777777" w:rsidR="004428C2" w:rsidRPr="008E0C1D" w:rsidRDefault="004428C2" w:rsidP="004428C2">
      <w:pPr>
        <w:ind w:firstLine="720"/>
        <w:rPr>
          <w:color w:val="000000" w:themeColor="text1"/>
        </w:rPr>
      </w:pPr>
      <w:r w:rsidRPr="008E0C1D">
        <w:rPr>
          <w:color w:val="000000" w:themeColor="text1"/>
        </w:rPr>
        <w:t xml:space="preserve">Following this cross-validation procedure, we then used our model to predict the plot-level maximum temperature buffering in each of our plots across the 56 regions. Because both the canopy cover data and the macroclimate temperatures were available for the baseline and the resurvey years, we were able to predict sub-canopy microclimate at both time steps, and thus calculate the rates of both micro- and macroclimate change (i.e., °C per decade) between the two surveys. This implies that the model used for predicting microclimate change rates was calibrated and validated with data collected after the vegetation plots were surveyed. We found that the microclimate warmed most in areas with decreasing canopy cover (Supplementary Fig. S5). It should be noted that including distance to the coast did not affect the temporal dynamics of microclimate in a plot, because distance to the coast is constant between the baseline survey and the resurvey for a given plot. Therefore, all the changes in microclimate reported here are due to changes in canopy cover and the associated changes in macroclimate temperature buffering. The data and methods used to develop the predictive model for maximum temperature are explained in detail in Zellweger et al. </w:t>
      </w:r>
      <w:r w:rsidRPr="008E0C1D">
        <w:rPr>
          <w:noProof/>
          <w:color w:val="000000" w:themeColor="text1"/>
          <w:lang w:val="en-GB"/>
        </w:rPr>
        <w:t>(</w:t>
      </w:r>
      <w:r w:rsidRPr="008E0C1D">
        <w:rPr>
          <w:i/>
          <w:noProof/>
          <w:color w:val="000000" w:themeColor="text1"/>
          <w:lang w:val="en-GB"/>
        </w:rPr>
        <w:t>21</w:t>
      </w:r>
      <w:r w:rsidRPr="008E0C1D">
        <w:rPr>
          <w:noProof/>
          <w:color w:val="000000" w:themeColor="text1"/>
          <w:lang w:val="en-GB"/>
        </w:rPr>
        <w:t>)</w:t>
      </w:r>
      <w:r w:rsidRPr="008E0C1D">
        <w:rPr>
          <w:color w:val="000000" w:themeColor="text1"/>
        </w:rPr>
        <w:t xml:space="preserve">. Our focus lies on maximum temperatures dynamics during summer (i.e., the growing season), because they are most affected by canopy cover in deciduous forests and are among the most important climatic determinants of plant growth and survival </w:t>
      </w:r>
      <w:r w:rsidRPr="008E0C1D">
        <w:rPr>
          <w:noProof/>
          <w:color w:val="000000" w:themeColor="text1"/>
          <w:lang w:val="en-GB"/>
        </w:rPr>
        <w:t>(</w:t>
      </w:r>
      <w:r w:rsidRPr="008E0C1D">
        <w:rPr>
          <w:i/>
          <w:noProof/>
          <w:color w:val="000000" w:themeColor="text1"/>
          <w:lang w:val="en-GB"/>
        </w:rPr>
        <w:t>9</w:t>
      </w:r>
      <w:r w:rsidRPr="008E0C1D">
        <w:rPr>
          <w:noProof/>
          <w:color w:val="000000" w:themeColor="text1"/>
          <w:lang w:val="en-GB"/>
        </w:rPr>
        <w:t xml:space="preserve">, </w:t>
      </w:r>
      <w:r w:rsidRPr="008E0C1D">
        <w:rPr>
          <w:i/>
          <w:noProof/>
          <w:color w:val="000000" w:themeColor="text1"/>
          <w:lang w:val="en-GB"/>
        </w:rPr>
        <w:t>30</w:t>
      </w:r>
      <w:r w:rsidRPr="008E0C1D">
        <w:rPr>
          <w:noProof/>
          <w:color w:val="000000" w:themeColor="text1"/>
          <w:lang w:val="en-GB"/>
        </w:rPr>
        <w:t xml:space="preserve">, </w:t>
      </w:r>
      <w:r w:rsidRPr="008E0C1D">
        <w:rPr>
          <w:i/>
          <w:noProof/>
          <w:color w:val="000000" w:themeColor="text1"/>
          <w:lang w:val="en-GB"/>
        </w:rPr>
        <w:t>43</w:t>
      </w:r>
      <w:r w:rsidRPr="008E0C1D">
        <w:rPr>
          <w:noProof/>
          <w:color w:val="000000" w:themeColor="text1"/>
          <w:lang w:val="en-GB"/>
        </w:rPr>
        <w:t>)</w:t>
      </w:r>
      <w:r w:rsidRPr="008E0C1D">
        <w:rPr>
          <w:color w:val="000000" w:themeColor="text1"/>
        </w:rPr>
        <w:t xml:space="preserve">. Dynamics in other microclimate temperature parameters, such as mean and minimum temperatures, have not been addressed here because previous results have shown that minimum temperatures are less affected by forest attributes such as canopy cover and tree densities, and more by landscape properties (e.g. distance to the coast and topography) </w:t>
      </w:r>
      <w:r w:rsidRPr="008E0C1D">
        <w:rPr>
          <w:noProof/>
          <w:color w:val="000000" w:themeColor="text1"/>
        </w:rPr>
        <w:t>(</w:t>
      </w:r>
      <w:r w:rsidRPr="008E0C1D">
        <w:rPr>
          <w:i/>
          <w:noProof/>
          <w:color w:val="000000" w:themeColor="text1"/>
        </w:rPr>
        <w:t>21</w:t>
      </w:r>
      <w:r w:rsidRPr="008E0C1D">
        <w:rPr>
          <w:noProof/>
          <w:color w:val="000000" w:themeColor="text1"/>
        </w:rPr>
        <w:t>)</w:t>
      </w:r>
      <w:r w:rsidRPr="008E0C1D">
        <w:rPr>
          <w:color w:val="000000" w:themeColor="text1"/>
        </w:rPr>
        <w:t xml:space="preserve">. These landscape properties do not change over the time span considered here and thus we expect that the small-scale temporal change of maximum temperatures to be much larger than minimum temperatures. However, in order to arrive at a more complete understanding of the role of microclimate in driving the response of biodiversity and ecosystems to climate change, further studies should address the effects of a full range of ecologically relevant microclimate temperature parameters, including soil, air and surface temperatures </w:t>
      </w:r>
      <w:r w:rsidRPr="008E0C1D">
        <w:rPr>
          <w:noProof/>
          <w:color w:val="000000" w:themeColor="text1"/>
        </w:rPr>
        <w:t>(</w:t>
      </w:r>
      <w:r w:rsidRPr="008E0C1D">
        <w:rPr>
          <w:i/>
          <w:noProof/>
          <w:color w:val="000000" w:themeColor="text1"/>
        </w:rPr>
        <w:t>26</w:t>
      </w:r>
      <w:r w:rsidRPr="008E0C1D">
        <w:rPr>
          <w:noProof/>
          <w:color w:val="000000" w:themeColor="text1"/>
        </w:rPr>
        <w:t xml:space="preserve">, </w:t>
      </w:r>
      <w:r w:rsidRPr="008E0C1D">
        <w:rPr>
          <w:i/>
          <w:noProof/>
          <w:color w:val="000000" w:themeColor="text1"/>
        </w:rPr>
        <w:t>44</w:t>
      </w:r>
      <w:r w:rsidRPr="008E0C1D">
        <w:rPr>
          <w:noProof/>
          <w:color w:val="000000" w:themeColor="text1"/>
        </w:rPr>
        <w:t xml:space="preserve">, </w:t>
      </w:r>
      <w:r w:rsidRPr="008E0C1D">
        <w:rPr>
          <w:i/>
          <w:noProof/>
          <w:color w:val="000000" w:themeColor="text1"/>
        </w:rPr>
        <w:t>45</w:t>
      </w:r>
      <w:r w:rsidRPr="008E0C1D">
        <w:rPr>
          <w:noProof/>
          <w:color w:val="000000" w:themeColor="text1"/>
        </w:rPr>
        <w:t>)</w:t>
      </w:r>
      <w:r w:rsidRPr="008E0C1D">
        <w:rPr>
          <w:color w:val="000000" w:themeColor="text1"/>
        </w:rPr>
        <w:t xml:space="preserve">. Promising opportunities in this respect arise from latest developments in process-based microclimate modelling </w:t>
      </w:r>
      <w:r w:rsidRPr="008E0C1D">
        <w:rPr>
          <w:noProof/>
          <w:color w:val="000000" w:themeColor="text1"/>
        </w:rPr>
        <w:t>(</w:t>
      </w:r>
      <w:r w:rsidRPr="008E0C1D">
        <w:rPr>
          <w:i/>
          <w:noProof/>
          <w:color w:val="000000" w:themeColor="text1"/>
        </w:rPr>
        <w:t>46</w:t>
      </w:r>
      <w:r w:rsidRPr="008E0C1D">
        <w:rPr>
          <w:noProof/>
          <w:color w:val="000000" w:themeColor="text1"/>
        </w:rPr>
        <w:t>)</w:t>
      </w:r>
      <w:r w:rsidRPr="008E0C1D">
        <w:rPr>
          <w:color w:val="000000" w:themeColor="text1"/>
        </w:rPr>
        <w:t xml:space="preserve">, which is assumed to be more generalizable over time, an issue we were not able to test within our statistical modelling framework. </w:t>
      </w:r>
    </w:p>
    <w:p w14:paraId="547A32FB" w14:textId="77777777" w:rsidR="004428C2" w:rsidRPr="008E0C1D" w:rsidRDefault="004428C2" w:rsidP="004428C2">
      <w:pPr>
        <w:ind w:firstLine="720"/>
        <w:rPr>
          <w:color w:val="000000" w:themeColor="text1"/>
        </w:rPr>
      </w:pPr>
      <w:r w:rsidRPr="008E0C1D">
        <w:rPr>
          <w:color w:val="000000" w:themeColor="text1"/>
        </w:rPr>
        <w:t xml:space="preserve">Our approach of calculating the rates of microclimate change in forests assumes a linearly occurring change in canopy cover and temperature buffering over time. This will indeed apply to the large majority of forests considered here, as most of our plots have not been affected by heavy disturbances (heavily managed forests, e.g. plantations, have been excluded in our data). Only 45 or 1.5 % of our 2955 plots have been subject to a canopy cover decrease by 100 % or more. However, we acknowledge that sudden losses of canopy cover due to e.g. windthrow will have triggered instantaneous losses of temperature buffering, potentially leading to a non-linear increase of warming rates but such effects are nearly impossible to capture at high spatiotemporal resolution. Whether canopy cover change was due to anthropogenic or natural causes did not affect our calculation of the </w:t>
      </w:r>
      <w:r w:rsidRPr="008E0C1D">
        <w:rPr>
          <w:color w:val="000000" w:themeColor="text1"/>
        </w:rPr>
        <w:lastRenderedPageBreak/>
        <w:t>microclimate change rates, because the relationship between canopy cover and maximum temperature buffering is assumed to remain the same between the two causes of canopy cover change.</w:t>
      </w:r>
    </w:p>
    <w:p w14:paraId="6F02A584" w14:textId="77777777" w:rsidR="004428C2" w:rsidRPr="008E0C1D" w:rsidRDefault="004428C2" w:rsidP="004428C2">
      <w:pPr>
        <w:rPr>
          <w:color w:val="000000" w:themeColor="text1"/>
        </w:rPr>
      </w:pPr>
    </w:p>
    <w:p w14:paraId="5394AD17" w14:textId="77777777" w:rsidR="004428C2" w:rsidRPr="008E0C1D" w:rsidRDefault="004428C2" w:rsidP="004428C2">
      <w:pPr>
        <w:rPr>
          <w:color w:val="000000" w:themeColor="text1"/>
        </w:rPr>
      </w:pPr>
      <w:r w:rsidRPr="008E0C1D">
        <w:rPr>
          <w:color w:val="000000" w:themeColor="text1"/>
        </w:rPr>
        <w:t>Thermophilisation rates</w:t>
      </w:r>
    </w:p>
    <w:p w14:paraId="09C13A2E" w14:textId="77777777" w:rsidR="004428C2" w:rsidRPr="008E0C1D" w:rsidRDefault="004428C2" w:rsidP="004428C2">
      <w:pPr>
        <w:rPr>
          <w:color w:val="000000" w:themeColor="text1"/>
        </w:rPr>
      </w:pPr>
    </w:p>
    <w:p w14:paraId="54E19CA0" w14:textId="77777777" w:rsidR="004428C2" w:rsidRPr="008E0C1D" w:rsidRDefault="004428C2" w:rsidP="004428C2">
      <w:pPr>
        <w:rPr>
          <w:color w:val="000000" w:themeColor="text1"/>
        </w:rPr>
      </w:pPr>
      <w:r w:rsidRPr="008E0C1D">
        <w:rPr>
          <w:color w:val="000000" w:themeColor="text1"/>
        </w:rPr>
        <w:t xml:space="preserve">To calculate the thermophilisation rate in the understorey layer of each plot, we adopted the data and methods used by De Frenne et al. </w:t>
      </w:r>
      <w:r w:rsidRPr="008E0C1D">
        <w:rPr>
          <w:noProof/>
          <w:color w:val="000000" w:themeColor="text1"/>
          <w:lang w:val="en-GB"/>
        </w:rPr>
        <w:t>(</w:t>
      </w:r>
      <w:r w:rsidRPr="008E0C1D">
        <w:rPr>
          <w:i/>
          <w:noProof/>
          <w:color w:val="000000" w:themeColor="text1"/>
          <w:lang w:val="en-GB"/>
        </w:rPr>
        <w:t>14</w:t>
      </w:r>
      <w:r w:rsidRPr="008E0C1D">
        <w:rPr>
          <w:noProof/>
          <w:color w:val="000000" w:themeColor="text1"/>
          <w:lang w:val="en-GB"/>
        </w:rPr>
        <w:t>)</w:t>
      </w:r>
      <w:r w:rsidRPr="008E0C1D">
        <w:rPr>
          <w:color w:val="000000" w:themeColor="text1"/>
          <w:lang w:val="en-GB"/>
        </w:rPr>
        <w:t>.</w:t>
      </w:r>
      <w:r w:rsidRPr="008E0C1D">
        <w:rPr>
          <w:color w:val="000000" w:themeColor="text1"/>
        </w:rPr>
        <w:t xml:space="preserve"> First, we extracted gridded (20 km by 20 km) data on monthly averages of maximum temperatures during April to September, based on long-term climatic averages (1970-2000) from WorldClim (version 2) </w:t>
      </w:r>
      <w:r w:rsidRPr="008E0C1D">
        <w:rPr>
          <w:noProof/>
          <w:color w:val="000000" w:themeColor="text1"/>
        </w:rPr>
        <w:t>(</w:t>
      </w:r>
      <w:r w:rsidRPr="008E0C1D">
        <w:rPr>
          <w:i/>
          <w:noProof/>
          <w:color w:val="000000" w:themeColor="text1"/>
        </w:rPr>
        <w:t>47</w:t>
      </w:r>
      <w:r w:rsidRPr="008E0C1D">
        <w:rPr>
          <w:noProof/>
          <w:color w:val="000000" w:themeColor="text1"/>
        </w:rPr>
        <w:t>)</w:t>
      </w:r>
      <w:r w:rsidRPr="008E0C1D">
        <w:rPr>
          <w:color w:val="000000" w:themeColor="text1"/>
        </w:rPr>
        <w:t xml:space="preserve">. Next, we estimated species’ thermal response curves by random sampling with replacement of 1000 grid cells within the current distribution range of the species (see Supplementary Fig. S6). We used 20 x 20 km² resolution climate data because the continental-scale species range maps are not available at a higher level of spatial detail. The distribution maps were digitized from two renowned atlases </w:t>
      </w:r>
      <w:r w:rsidRPr="008E0C1D">
        <w:rPr>
          <w:noProof/>
          <w:color w:val="000000" w:themeColor="text1"/>
        </w:rPr>
        <w:t>(</w:t>
      </w:r>
      <w:r w:rsidRPr="008E0C1D">
        <w:rPr>
          <w:i/>
          <w:noProof/>
          <w:color w:val="000000" w:themeColor="text1"/>
        </w:rPr>
        <w:t>48</w:t>
      </w:r>
      <w:r w:rsidRPr="008E0C1D">
        <w:rPr>
          <w:noProof/>
          <w:color w:val="000000" w:themeColor="text1"/>
        </w:rPr>
        <w:t xml:space="preserve">, </w:t>
      </w:r>
      <w:r w:rsidRPr="008E0C1D">
        <w:rPr>
          <w:i/>
          <w:noProof/>
          <w:color w:val="000000" w:themeColor="text1"/>
        </w:rPr>
        <w:t>49</w:t>
      </w:r>
      <w:r w:rsidRPr="008E0C1D">
        <w:rPr>
          <w:noProof/>
          <w:color w:val="000000" w:themeColor="text1"/>
        </w:rPr>
        <w:t>)</w:t>
      </w:r>
      <w:r w:rsidRPr="008E0C1D">
        <w:rPr>
          <w:color w:val="000000" w:themeColor="text1"/>
        </w:rPr>
        <w:t xml:space="preserve"> and were available for 993 out of 1292 species in our dataset. A total of 133 species, out of the 1292 studied species, were not identified to the species level, but recorded as grouped or aggregated species (e.g., </w:t>
      </w:r>
      <w:r w:rsidRPr="008E0C1D">
        <w:rPr>
          <w:i/>
          <w:iCs/>
          <w:color w:val="000000" w:themeColor="text1"/>
        </w:rPr>
        <w:t>Rosa sp</w:t>
      </w:r>
      <w:r w:rsidRPr="008E0C1D">
        <w:rPr>
          <w:color w:val="000000" w:themeColor="text1"/>
        </w:rPr>
        <w:t xml:space="preserve">.). After removing the grouped species from the 1292 species, the 993 species for which we had distribution maps thus accounted for 85.68 % of the species, which corresponded to a share of 98.39 % of the total cover of the vegetation surveys. These thermal response curves are interpreted as species-specific thermal affinities and were used to test for directional shifts in community composition over time as a response to increasing temperatures. We calculated the floristic temperature (in degrees Celsius) for each plot by sampling the thermal response curves of all species that were present at the time of each survey. To account for variability and uncertainty in species’ thermal preferences and niche widths, the distribution of plot-level floristic temperatures at each survey was constructed by resampling 1,000 times from the species’ thermal response curves, as explained in </w:t>
      </w:r>
      <w:r w:rsidRPr="008E0C1D">
        <w:rPr>
          <w:noProof/>
          <w:color w:val="000000" w:themeColor="text1"/>
          <w:lang w:val="en-GB"/>
        </w:rPr>
        <w:t xml:space="preserve">Rodríguez-Sánchez et al. </w:t>
      </w:r>
      <w:r w:rsidRPr="008E0C1D">
        <w:rPr>
          <w:noProof/>
          <w:color w:val="000000" w:themeColor="text1"/>
        </w:rPr>
        <w:t>(</w:t>
      </w:r>
      <w:r w:rsidRPr="008E0C1D">
        <w:rPr>
          <w:i/>
          <w:noProof/>
          <w:color w:val="000000" w:themeColor="text1"/>
        </w:rPr>
        <w:t>50</w:t>
      </w:r>
      <w:r w:rsidRPr="008E0C1D">
        <w:rPr>
          <w:noProof/>
          <w:color w:val="000000" w:themeColor="text1"/>
        </w:rPr>
        <w:t>)</w:t>
      </w:r>
      <w:r w:rsidRPr="008E0C1D">
        <w:rPr>
          <w:color w:val="000000" w:themeColor="text1"/>
        </w:rPr>
        <w:t xml:space="preserve">. In line with our microclimate data representing changes in maximum temperatures during summer, we were specifically interested in analysing shifts in warm-affinity species due to species-specific affinities to heat. Shifts in relative dominance in warm-affinity species within the community are expected to be best represented in shifts at the upper end (right tail) of the floristic temperature distribution </w:t>
      </w:r>
      <w:r w:rsidRPr="008E0C1D">
        <w:rPr>
          <w:noProof/>
          <w:color w:val="000000" w:themeColor="text1"/>
        </w:rPr>
        <w:t>(</w:t>
      </w:r>
      <w:r w:rsidRPr="008E0C1D">
        <w:rPr>
          <w:i/>
          <w:noProof/>
          <w:color w:val="000000" w:themeColor="text1"/>
        </w:rPr>
        <w:t>14</w:t>
      </w:r>
      <w:r w:rsidRPr="008E0C1D">
        <w:rPr>
          <w:noProof/>
          <w:color w:val="000000" w:themeColor="text1"/>
        </w:rPr>
        <w:t>)</w:t>
      </w:r>
      <w:r w:rsidRPr="008E0C1D">
        <w:rPr>
          <w:color w:val="000000" w:themeColor="text1"/>
        </w:rPr>
        <w:t>. Therefore, we quantified the thermophilisation rate as the difference between the 95</w:t>
      </w:r>
      <w:r w:rsidRPr="008E0C1D">
        <w:rPr>
          <w:color w:val="000000" w:themeColor="text1"/>
          <w:vertAlign w:val="superscript"/>
        </w:rPr>
        <w:t>th</w:t>
      </w:r>
      <w:r w:rsidRPr="008E0C1D">
        <w:rPr>
          <w:color w:val="000000" w:themeColor="text1"/>
        </w:rPr>
        <w:t xml:space="preserve"> percentiles of the floristic temperature distribution between the baseline survey and resurvey (∆T</w:t>
      </w:r>
      <w:r w:rsidRPr="008E0C1D">
        <w:rPr>
          <w:color w:val="000000" w:themeColor="text1"/>
          <w:vertAlign w:val="subscript"/>
        </w:rPr>
        <w:t>plant</w:t>
      </w:r>
      <w:r w:rsidRPr="008E0C1D">
        <w:rPr>
          <w:color w:val="000000" w:themeColor="text1"/>
        </w:rPr>
        <w:t xml:space="preserve">), divided by the time interval (∆t, in decades) between the two surveys (see Sensitivity analyses section for more details). </w:t>
      </w:r>
    </w:p>
    <w:p w14:paraId="6E427C84" w14:textId="77777777" w:rsidR="004428C2" w:rsidRPr="008E0C1D" w:rsidRDefault="004428C2" w:rsidP="004428C2">
      <w:pPr>
        <w:ind w:firstLine="709"/>
        <w:rPr>
          <w:color w:val="000000" w:themeColor="text1"/>
        </w:rPr>
      </w:pPr>
      <w:r w:rsidRPr="008E0C1D">
        <w:rPr>
          <w:color w:val="000000" w:themeColor="text1"/>
        </w:rPr>
        <w:t>We expected the time interval between the baseline surveys and resurveys to be long enough to allow for species replacements due to range shifts. Therefore, we calculated all thermophilisation rates based on changes in species presence or absence, as opposed to changes in species cover (abundance). In 12 out of all baseline surveys and resurveys, no vascular plant species occurred in the understorey-layer, which prevented the calculation of a floristic temperature and resulted in the exclusion of 12 plots from the 2955 plots, leading to a sample size of n = 2943 plots for the thermophilisation analyses.</w:t>
      </w:r>
    </w:p>
    <w:p w14:paraId="07AFBE5B" w14:textId="77777777" w:rsidR="004428C2" w:rsidRPr="008E0C1D" w:rsidRDefault="004428C2" w:rsidP="004428C2">
      <w:pPr>
        <w:rPr>
          <w:color w:val="000000" w:themeColor="text1"/>
        </w:rPr>
      </w:pPr>
    </w:p>
    <w:p w14:paraId="7C2659D5" w14:textId="77777777" w:rsidR="004428C2" w:rsidRPr="008E0C1D" w:rsidRDefault="004428C2" w:rsidP="004428C2">
      <w:pPr>
        <w:widowControl w:val="0"/>
        <w:spacing w:after="240"/>
        <w:rPr>
          <w:color w:val="000000" w:themeColor="text1"/>
        </w:rPr>
      </w:pPr>
      <w:r w:rsidRPr="008E0C1D">
        <w:rPr>
          <w:color w:val="000000" w:themeColor="text1"/>
        </w:rPr>
        <w:t>Climatic debt</w:t>
      </w:r>
    </w:p>
    <w:p w14:paraId="66514A18" w14:textId="77777777" w:rsidR="004428C2" w:rsidRPr="008E0C1D" w:rsidRDefault="004428C2" w:rsidP="004428C2">
      <w:pPr>
        <w:widowControl w:val="0"/>
        <w:spacing w:after="240"/>
        <w:rPr>
          <w:color w:val="000000" w:themeColor="text1"/>
        </w:rPr>
      </w:pPr>
      <w:r w:rsidRPr="008E0C1D">
        <w:rPr>
          <w:color w:val="000000" w:themeColor="text1"/>
        </w:rPr>
        <w:t>To calculate the climatic debt accumulated by a understorey plant community, i.e. the degree to which the rates of compositional changes in vegetation are lagging behind the rates of micro- and macroclimate warming, we subtracted the thermophilisation rates (i.e. ∆T</w:t>
      </w:r>
      <w:r w:rsidRPr="008E0C1D">
        <w:rPr>
          <w:color w:val="000000" w:themeColor="text1"/>
          <w:vertAlign w:val="subscript"/>
        </w:rPr>
        <w:t>plant</w:t>
      </w:r>
      <w:r w:rsidRPr="008E0C1D">
        <w:rPr>
          <w:color w:val="000000" w:themeColor="text1"/>
        </w:rPr>
        <w:t xml:space="preserve">/∆t) from the rates of micro- and macroclimate temperature change </w:t>
      </w:r>
      <w:r w:rsidRPr="008E0C1D">
        <w:rPr>
          <w:noProof/>
          <w:color w:val="000000" w:themeColor="text1"/>
          <w:lang w:val="en-GB"/>
        </w:rPr>
        <w:t>(</w:t>
      </w:r>
      <w:r w:rsidRPr="008E0C1D">
        <w:rPr>
          <w:i/>
          <w:noProof/>
          <w:color w:val="000000" w:themeColor="text1"/>
          <w:lang w:val="en-GB"/>
        </w:rPr>
        <w:t>12</w:t>
      </w:r>
      <w:r w:rsidRPr="008E0C1D">
        <w:rPr>
          <w:noProof/>
          <w:color w:val="000000" w:themeColor="text1"/>
          <w:lang w:val="en-GB"/>
        </w:rPr>
        <w:t xml:space="preserve">, </w:t>
      </w:r>
      <w:r w:rsidRPr="008E0C1D">
        <w:rPr>
          <w:i/>
          <w:noProof/>
          <w:color w:val="000000" w:themeColor="text1"/>
          <w:lang w:val="en-GB"/>
        </w:rPr>
        <w:t>20</w:t>
      </w:r>
      <w:r w:rsidRPr="008E0C1D">
        <w:rPr>
          <w:noProof/>
          <w:color w:val="000000" w:themeColor="text1"/>
          <w:lang w:val="en-GB"/>
        </w:rPr>
        <w:t>)</w:t>
      </w:r>
      <w:r w:rsidRPr="008E0C1D">
        <w:rPr>
          <w:color w:val="000000" w:themeColor="text1"/>
          <w:lang w:val="en-GB"/>
        </w:rPr>
        <w:t xml:space="preserve"> (i.e., macroclimatic debt: (</w:t>
      </w:r>
      <w:r w:rsidRPr="008E0C1D">
        <w:rPr>
          <w:color w:val="000000" w:themeColor="text1"/>
        </w:rPr>
        <w:t>∆T</w:t>
      </w:r>
      <w:r w:rsidRPr="008E0C1D">
        <w:rPr>
          <w:color w:val="000000" w:themeColor="text1"/>
          <w:vertAlign w:val="subscript"/>
        </w:rPr>
        <w:t>macro</w:t>
      </w:r>
      <w:r w:rsidRPr="008E0C1D">
        <w:rPr>
          <w:color w:val="000000" w:themeColor="text1"/>
        </w:rPr>
        <w:t xml:space="preserve">/∆t) – </w:t>
      </w:r>
      <w:r w:rsidRPr="008E0C1D">
        <w:rPr>
          <w:color w:val="000000" w:themeColor="text1"/>
          <w:lang w:val="en-GB"/>
        </w:rPr>
        <w:t>(</w:t>
      </w:r>
      <w:r w:rsidRPr="008E0C1D">
        <w:rPr>
          <w:color w:val="000000" w:themeColor="text1"/>
        </w:rPr>
        <w:t>∆T</w:t>
      </w:r>
      <w:r w:rsidRPr="008E0C1D">
        <w:rPr>
          <w:color w:val="000000" w:themeColor="text1"/>
          <w:vertAlign w:val="subscript"/>
        </w:rPr>
        <w:t>plant</w:t>
      </w:r>
      <w:r w:rsidRPr="008E0C1D">
        <w:rPr>
          <w:color w:val="000000" w:themeColor="text1"/>
        </w:rPr>
        <w:t xml:space="preserve">/∆t); vs. microclimatic debt: </w:t>
      </w:r>
      <w:r w:rsidRPr="008E0C1D">
        <w:rPr>
          <w:color w:val="000000" w:themeColor="text1"/>
          <w:lang w:val="en-GB"/>
        </w:rPr>
        <w:t>(</w:t>
      </w:r>
      <w:r w:rsidRPr="008E0C1D">
        <w:rPr>
          <w:color w:val="000000" w:themeColor="text1"/>
        </w:rPr>
        <w:t>∆T</w:t>
      </w:r>
      <w:r w:rsidRPr="008E0C1D">
        <w:rPr>
          <w:color w:val="000000" w:themeColor="text1"/>
          <w:vertAlign w:val="subscript"/>
        </w:rPr>
        <w:t>micro</w:t>
      </w:r>
      <w:r w:rsidRPr="008E0C1D">
        <w:rPr>
          <w:color w:val="000000" w:themeColor="text1"/>
        </w:rPr>
        <w:t xml:space="preserve">/∆t) – </w:t>
      </w:r>
      <w:r w:rsidRPr="008E0C1D">
        <w:rPr>
          <w:color w:val="000000" w:themeColor="text1"/>
          <w:lang w:val="en-GB"/>
        </w:rPr>
        <w:t>(</w:t>
      </w:r>
      <w:r w:rsidRPr="008E0C1D">
        <w:rPr>
          <w:color w:val="000000" w:themeColor="text1"/>
        </w:rPr>
        <w:t>∆T</w:t>
      </w:r>
      <w:r w:rsidRPr="008E0C1D">
        <w:rPr>
          <w:color w:val="000000" w:themeColor="text1"/>
          <w:vertAlign w:val="subscript"/>
        </w:rPr>
        <w:t>plant</w:t>
      </w:r>
      <w:r w:rsidRPr="008E0C1D">
        <w:rPr>
          <w:color w:val="000000" w:themeColor="text1"/>
        </w:rPr>
        <w:t>/∆t). Large differences thus indicate a large disequilibrium between vegetation dynamics and climate change</w:t>
      </w:r>
      <w:r w:rsidRPr="008E0C1D">
        <w:rPr>
          <w:noProof/>
          <w:color w:val="000000" w:themeColor="text1"/>
          <w:lang w:val="en-GB"/>
        </w:rPr>
        <w:t>(</w:t>
      </w:r>
      <w:r w:rsidRPr="008E0C1D">
        <w:rPr>
          <w:i/>
          <w:noProof/>
          <w:color w:val="000000" w:themeColor="text1"/>
          <w:lang w:val="en-GB"/>
        </w:rPr>
        <w:t>51</w:t>
      </w:r>
      <w:r w:rsidRPr="008E0C1D">
        <w:rPr>
          <w:noProof/>
          <w:color w:val="000000" w:themeColor="text1"/>
          <w:lang w:val="en-GB"/>
        </w:rPr>
        <w:t>)</w:t>
      </w:r>
      <w:r w:rsidRPr="008E0C1D">
        <w:rPr>
          <w:color w:val="000000" w:themeColor="text1"/>
        </w:rPr>
        <w:t>, indicating that a relatively high number of species are occurring under sub-optimal thermal conditions. In line with our previously applied statistical framework, we tested whether our findings presented in the main text change when we consider (1) thermophilisation rates calculated using the shifts in the 50</w:t>
      </w:r>
      <w:r w:rsidRPr="008E0C1D">
        <w:rPr>
          <w:color w:val="000000" w:themeColor="text1"/>
          <w:vertAlign w:val="superscript"/>
        </w:rPr>
        <w:t>th</w:t>
      </w:r>
      <w:r w:rsidRPr="008E0C1D">
        <w:rPr>
          <w:color w:val="000000" w:themeColor="text1"/>
        </w:rPr>
        <w:t xml:space="preserve"> and 5</w:t>
      </w:r>
      <w:r w:rsidRPr="008E0C1D">
        <w:rPr>
          <w:color w:val="000000" w:themeColor="text1"/>
          <w:vertAlign w:val="superscript"/>
        </w:rPr>
        <w:t>th</w:t>
      </w:r>
      <w:r w:rsidRPr="008E0C1D">
        <w:rPr>
          <w:color w:val="000000" w:themeColor="text1"/>
        </w:rPr>
        <w:t xml:space="preserve"> percentiles of the floristic temperature distributions rather than the 95</w:t>
      </w:r>
      <w:r w:rsidRPr="008E0C1D">
        <w:rPr>
          <w:color w:val="000000" w:themeColor="text1"/>
          <w:vertAlign w:val="superscript"/>
        </w:rPr>
        <w:t>th</w:t>
      </w:r>
      <w:r w:rsidRPr="008E0C1D">
        <w:rPr>
          <w:color w:val="000000" w:themeColor="text1"/>
        </w:rPr>
        <w:t xml:space="preserve"> percentiles, and (2) when we exclude rare species. We found that none of these two approaches changed our main findings and conclusions (Supplementary Figs. S8 and S9 &amp; Sensitivity analyses section).</w:t>
      </w:r>
    </w:p>
    <w:p w14:paraId="57947586" w14:textId="77777777" w:rsidR="004428C2" w:rsidRPr="008E0C1D" w:rsidRDefault="004428C2" w:rsidP="004428C2">
      <w:pPr>
        <w:widowControl w:val="0"/>
        <w:spacing w:after="240"/>
        <w:rPr>
          <w:color w:val="000000" w:themeColor="text1"/>
        </w:rPr>
      </w:pPr>
      <w:r w:rsidRPr="008E0C1D">
        <w:rPr>
          <w:color w:val="000000" w:themeColor="text1"/>
        </w:rPr>
        <w:t>Statistical analyses</w:t>
      </w:r>
    </w:p>
    <w:p w14:paraId="756D8AB7" w14:textId="77777777" w:rsidR="004428C2" w:rsidRPr="008E0C1D" w:rsidRDefault="004428C2" w:rsidP="004428C2">
      <w:pPr>
        <w:widowControl w:val="0"/>
        <w:rPr>
          <w:color w:val="000000" w:themeColor="text1"/>
        </w:rPr>
      </w:pPr>
      <w:r w:rsidRPr="008E0C1D">
        <w:rPr>
          <w:color w:val="000000" w:themeColor="text1"/>
        </w:rPr>
        <w:t xml:space="preserve">To report summary statistics of the variables we analysed, i.e. the rates of micro- and macroclimate change, the thermophilisation rate, as well as the micro- and macroclimatic debts, we applied a multilevel-modelling framework with group-level effects for ‘region’ to account for the spatial non-independence of plots within the same region, using linear mixed-effects models (LMMs). For each of the above variables we calculated a separate LMM, without fixed predictor variables but using ‘region’ as a random intercept term. The intercept and standard error of these </w:t>
      </w:r>
      <w:r w:rsidRPr="008E0C1D">
        <w:rPr>
          <w:color w:val="000000" w:themeColor="text1"/>
        </w:rPr>
        <w:lastRenderedPageBreak/>
        <w:t xml:space="preserve">models represent the mean and standard error of the mean (SEM) of each variable. When fitting our intercept-only LMMs, we used the restricted maximum likelihood method in the lmer function from the lme4 package </w:t>
      </w:r>
      <w:r w:rsidRPr="008E0C1D">
        <w:rPr>
          <w:noProof/>
          <w:color w:val="000000" w:themeColor="text1"/>
          <w:lang w:val="en-GB"/>
        </w:rPr>
        <w:t>(</w:t>
      </w:r>
      <w:r w:rsidRPr="008E0C1D">
        <w:rPr>
          <w:i/>
          <w:noProof/>
          <w:color w:val="000000" w:themeColor="text1"/>
          <w:lang w:val="en-GB"/>
        </w:rPr>
        <w:t>52</w:t>
      </w:r>
      <w:r w:rsidRPr="008E0C1D">
        <w:rPr>
          <w:noProof/>
          <w:color w:val="000000" w:themeColor="text1"/>
          <w:lang w:val="en-GB"/>
        </w:rPr>
        <w:t>)</w:t>
      </w:r>
      <w:r w:rsidRPr="008E0C1D">
        <w:rPr>
          <w:color w:val="000000" w:themeColor="text1"/>
        </w:rPr>
        <w:t xml:space="preserve"> as recommended by Zuur et al. </w:t>
      </w:r>
      <w:r w:rsidRPr="008E0C1D">
        <w:rPr>
          <w:noProof/>
          <w:color w:val="000000" w:themeColor="text1"/>
          <w:lang w:val="en-GB"/>
        </w:rPr>
        <w:t>(</w:t>
      </w:r>
      <w:r w:rsidRPr="008E0C1D">
        <w:rPr>
          <w:i/>
          <w:noProof/>
          <w:color w:val="000000" w:themeColor="text1"/>
          <w:lang w:val="en-GB"/>
        </w:rPr>
        <w:t>53</w:t>
      </w:r>
      <w:r w:rsidRPr="008E0C1D">
        <w:rPr>
          <w:noProof/>
          <w:color w:val="000000" w:themeColor="text1"/>
          <w:lang w:val="en-GB"/>
        </w:rPr>
        <w:t>)</w:t>
      </w:r>
      <w:r w:rsidRPr="008E0C1D">
        <w:rPr>
          <w:color w:val="000000" w:themeColor="text1"/>
          <w:lang w:val="en-GB"/>
        </w:rPr>
        <w:t xml:space="preserve">. We used </w:t>
      </w:r>
      <w:r w:rsidRPr="008E0C1D">
        <w:rPr>
          <w:color w:val="000000" w:themeColor="text1"/>
        </w:rPr>
        <w:t>χ</w:t>
      </w:r>
      <w:r w:rsidRPr="008E0C1D">
        <w:rPr>
          <w:color w:val="000000" w:themeColor="text1"/>
          <w:vertAlign w:val="superscript"/>
        </w:rPr>
        <w:t>2</w:t>
      </w:r>
      <w:r w:rsidRPr="008E0C1D">
        <w:rPr>
          <w:color w:val="000000" w:themeColor="text1"/>
        </w:rPr>
        <w:t xml:space="preserve"> tests to determine whether the means were significantly different from zero.</w:t>
      </w:r>
      <w:r w:rsidRPr="008E0C1D">
        <w:rPr>
          <w:noProof/>
          <w:color w:val="000000" w:themeColor="text1"/>
          <w:lang w:val="en-GB"/>
        </w:rPr>
        <w:t xml:space="preserve"> </w:t>
      </w:r>
      <w:r w:rsidRPr="008E0C1D">
        <w:rPr>
          <w:color w:val="000000" w:themeColor="text1"/>
        </w:rPr>
        <w:t xml:space="preserve">The mean and SEM of each variable were then complemented by the range and quantiles drawn from the raw data distribution. </w:t>
      </w:r>
    </w:p>
    <w:p w14:paraId="066F840C" w14:textId="77777777" w:rsidR="004428C2" w:rsidRPr="008E0C1D" w:rsidRDefault="004428C2" w:rsidP="004428C2">
      <w:pPr>
        <w:widowControl w:val="0"/>
        <w:ind w:firstLine="709"/>
        <w:rPr>
          <w:color w:val="000000" w:themeColor="text1"/>
        </w:rPr>
      </w:pPr>
      <w:r w:rsidRPr="008E0C1D">
        <w:rPr>
          <w:color w:val="000000" w:themeColor="text1"/>
        </w:rPr>
        <w:t xml:space="preserve">Next, we assessed how the rates of macroclimate change predict variation in the rates of microclimate change. We therefore fitted a LMM with the rate of macroclimate change as a fixed effect variable and ‘region’ as a random intercept term variable using restricted maximum likelihood in the lmer function from the lme4 package </w:t>
      </w:r>
      <w:r w:rsidRPr="008E0C1D">
        <w:rPr>
          <w:noProof/>
          <w:color w:val="000000" w:themeColor="text1"/>
          <w:lang w:val="en-GB"/>
        </w:rPr>
        <w:t>(</w:t>
      </w:r>
      <w:r w:rsidRPr="008E0C1D">
        <w:rPr>
          <w:i/>
          <w:noProof/>
          <w:color w:val="000000" w:themeColor="text1"/>
          <w:lang w:val="en-GB"/>
        </w:rPr>
        <w:t>52</w:t>
      </w:r>
      <w:r w:rsidRPr="008E0C1D">
        <w:rPr>
          <w:noProof/>
          <w:color w:val="000000" w:themeColor="text1"/>
          <w:lang w:val="en-GB"/>
        </w:rPr>
        <w:t>)</w:t>
      </w:r>
      <w:r w:rsidRPr="008E0C1D">
        <w:rPr>
          <w:color w:val="000000" w:themeColor="text1"/>
        </w:rPr>
        <w:t>. Moreover, χ</w:t>
      </w:r>
      <w:r w:rsidRPr="008E0C1D">
        <w:rPr>
          <w:color w:val="000000" w:themeColor="text1"/>
          <w:vertAlign w:val="superscript"/>
        </w:rPr>
        <w:t>2</w:t>
      </w:r>
      <w:r w:rsidRPr="008E0C1D">
        <w:rPr>
          <w:color w:val="000000" w:themeColor="text1"/>
        </w:rPr>
        <w:t xml:space="preserve"> tests were performed by comparing the univariate LMM including the rate of macroclimate change with the intercept-only model </w:t>
      </w:r>
      <w:r w:rsidRPr="008E0C1D">
        <w:rPr>
          <w:noProof/>
          <w:color w:val="000000" w:themeColor="text1"/>
          <w:lang w:val="en-GB"/>
        </w:rPr>
        <w:t>(</w:t>
      </w:r>
      <w:r w:rsidRPr="008E0C1D">
        <w:rPr>
          <w:i/>
          <w:noProof/>
          <w:color w:val="000000" w:themeColor="text1"/>
          <w:lang w:val="en-GB"/>
        </w:rPr>
        <w:t>53</w:t>
      </w:r>
      <w:r w:rsidRPr="008E0C1D">
        <w:rPr>
          <w:noProof/>
          <w:color w:val="000000" w:themeColor="text1"/>
          <w:lang w:val="en-GB"/>
        </w:rPr>
        <w:t>)</w:t>
      </w:r>
      <w:r w:rsidRPr="008E0C1D">
        <w:rPr>
          <w:color w:val="000000" w:themeColor="text1"/>
        </w:rPr>
        <w:t xml:space="preserve">. Goodness-of-fit was determined by calculating the marginal coefficient of determination (R-squared) as proposed by Nakagawa &amp; Schielzeth </w:t>
      </w:r>
      <w:r w:rsidRPr="008E0C1D">
        <w:rPr>
          <w:noProof/>
          <w:color w:val="000000" w:themeColor="text1"/>
          <w:lang w:val="en-GB"/>
        </w:rPr>
        <w:t>(</w:t>
      </w:r>
      <w:r w:rsidRPr="008E0C1D">
        <w:rPr>
          <w:i/>
          <w:noProof/>
          <w:color w:val="000000" w:themeColor="text1"/>
          <w:lang w:val="en-GB"/>
        </w:rPr>
        <w:t>54</w:t>
      </w:r>
      <w:r w:rsidRPr="008E0C1D">
        <w:rPr>
          <w:noProof/>
          <w:color w:val="000000" w:themeColor="text1"/>
          <w:lang w:val="en-GB"/>
        </w:rPr>
        <w:t>)</w:t>
      </w:r>
      <w:r w:rsidRPr="008E0C1D">
        <w:rPr>
          <w:color w:val="000000" w:themeColor="text1"/>
        </w:rPr>
        <w:t xml:space="preserve"> using the r.squaredGLMM function in the MuMIn package </w:t>
      </w:r>
      <w:r w:rsidRPr="008E0C1D">
        <w:rPr>
          <w:noProof/>
          <w:color w:val="000000" w:themeColor="text1"/>
          <w:lang w:val="en-GB"/>
        </w:rPr>
        <w:t>(</w:t>
      </w:r>
      <w:r w:rsidRPr="008E0C1D">
        <w:rPr>
          <w:i/>
          <w:noProof/>
          <w:color w:val="000000" w:themeColor="text1"/>
          <w:lang w:val="en-GB"/>
        </w:rPr>
        <w:t>55</w:t>
      </w:r>
      <w:r w:rsidRPr="008E0C1D">
        <w:rPr>
          <w:noProof/>
          <w:color w:val="000000" w:themeColor="text1"/>
          <w:lang w:val="en-GB"/>
        </w:rPr>
        <w:t>)</w:t>
      </w:r>
      <w:r w:rsidRPr="008E0C1D">
        <w:rPr>
          <w:color w:val="000000" w:themeColor="text1"/>
        </w:rPr>
        <w:t xml:space="preserve">. The marginal R-squared describes the variation explained by the fixed factor only, as opposed to the conditional R-squared, which describes the variation explained by the fixed and random factors together </w:t>
      </w:r>
      <w:r w:rsidRPr="008E0C1D">
        <w:rPr>
          <w:noProof/>
          <w:color w:val="000000" w:themeColor="text1"/>
          <w:lang w:val="en-GB"/>
        </w:rPr>
        <w:t>(</w:t>
      </w:r>
      <w:r w:rsidRPr="008E0C1D">
        <w:rPr>
          <w:i/>
          <w:noProof/>
          <w:color w:val="000000" w:themeColor="text1"/>
          <w:lang w:val="en-GB"/>
        </w:rPr>
        <w:t>54</w:t>
      </w:r>
      <w:r w:rsidRPr="008E0C1D">
        <w:rPr>
          <w:noProof/>
          <w:color w:val="000000" w:themeColor="text1"/>
          <w:lang w:val="en-GB"/>
        </w:rPr>
        <w:t>)</w:t>
      </w:r>
      <w:r w:rsidRPr="008E0C1D">
        <w:rPr>
          <w:color w:val="000000" w:themeColor="text1"/>
        </w:rPr>
        <w:t>.</w:t>
      </w:r>
    </w:p>
    <w:p w14:paraId="7F2973AF" w14:textId="77777777" w:rsidR="004428C2" w:rsidRPr="008E0C1D" w:rsidRDefault="004428C2" w:rsidP="004428C2">
      <w:pPr>
        <w:widowControl w:val="0"/>
        <w:rPr>
          <w:color w:val="000000" w:themeColor="text1"/>
        </w:rPr>
      </w:pPr>
      <w:r w:rsidRPr="008E0C1D">
        <w:rPr>
          <w:color w:val="000000" w:themeColor="text1"/>
        </w:rPr>
        <w:tab/>
        <w:t xml:space="preserve">The same approach was chosen to analyse the relationship between climate change (i.e., the rates of micro- and macroclimate change) and the thermophilisation rate. We fitted an individual LMM with either the rate of micro- or macroclimate change as a fixed effect variable and ‘region’ as a random intercept term, and thermophilisation rate as the response variable. Prior to model fitting, we centered and standardised (scaled) the rates of micro- and macroclimate change (mean = 0, standard deviation = 1), so that the scaled slope estimates can be interpreted as relative effect sizes </w:t>
      </w:r>
      <w:r w:rsidRPr="008E0C1D">
        <w:rPr>
          <w:noProof/>
          <w:color w:val="000000" w:themeColor="text1"/>
          <w:lang w:val="en-GB"/>
        </w:rPr>
        <w:t>(</w:t>
      </w:r>
      <w:r w:rsidRPr="008E0C1D">
        <w:rPr>
          <w:i/>
          <w:noProof/>
          <w:color w:val="000000" w:themeColor="text1"/>
          <w:lang w:val="en-GB"/>
        </w:rPr>
        <w:t>56</w:t>
      </w:r>
      <w:r w:rsidRPr="008E0C1D">
        <w:rPr>
          <w:noProof/>
          <w:color w:val="000000" w:themeColor="text1"/>
          <w:lang w:val="en-GB"/>
        </w:rPr>
        <w:t>)</w:t>
      </w:r>
      <w:r w:rsidRPr="008E0C1D">
        <w:rPr>
          <w:color w:val="000000" w:themeColor="text1"/>
        </w:rPr>
        <w:t xml:space="preserve">. The rates of microclimate change were significantly and positively related to the residuals of the macroclimate change model (slope: 0.025; </w:t>
      </w:r>
      <w:r w:rsidRPr="008E0C1D">
        <w:rPr>
          <w:i/>
          <w:color w:val="000000" w:themeColor="text1"/>
        </w:rPr>
        <w:t>P</w:t>
      </w:r>
      <w:r w:rsidRPr="008E0C1D">
        <w:rPr>
          <w:color w:val="000000" w:themeColor="text1"/>
        </w:rPr>
        <w:t xml:space="preserve"> &lt; 0.01), suggesting that microclimate data holds complementary information compared to macroclimate data for explaining biotic responses to climate change. We also tested the linearity of the relationship between the rate of micro- or macroclimate change and the thermophilisation rate, by running general additive mixed-effects models using the gamm function in the mgcv package </w:t>
      </w:r>
      <w:r w:rsidRPr="008E0C1D">
        <w:rPr>
          <w:noProof/>
          <w:color w:val="000000" w:themeColor="text1"/>
          <w:lang w:val="en-GB"/>
        </w:rPr>
        <w:t>(</w:t>
      </w:r>
      <w:r w:rsidRPr="008E0C1D">
        <w:rPr>
          <w:i/>
          <w:noProof/>
          <w:color w:val="000000" w:themeColor="text1"/>
          <w:lang w:val="en-GB"/>
        </w:rPr>
        <w:t>57</w:t>
      </w:r>
      <w:r w:rsidRPr="008E0C1D">
        <w:rPr>
          <w:noProof/>
          <w:color w:val="000000" w:themeColor="text1"/>
          <w:lang w:val="en-GB"/>
        </w:rPr>
        <w:t>)</w:t>
      </w:r>
      <w:r w:rsidRPr="008E0C1D">
        <w:rPr>
          <w:color w:val="000000" w:themeColor="text1"/>
        </w:rPr>
        <w:t xml:space="preserve"> and ‘region’ as a random term. However, we did not find any evidence of a non-linear relationship (</w:t>
      </w:r>
      <w:r w:rsidRPr="008E0C1D">
        <w:rPr>
          <w:i/>
          <w:color w:val="000000" w:themeColor="text1"/>
        </w:rPr>
        <w:t>P</w:t>
      </w:r>
      <w:r w:rsidRPr="008E0C1D">
        <w:rPr>
          <w:color w:val="000000" w:themeColor="text1"/>
        </w:rPr>
        <w:t xml:space="preserve"> = 0.60). Lastly, we fitted an individual LMM with the change in Tmax buffering as a fixed effect variable and ‘region’ as a random intercept term, and either the micro- or macroclimatic debts as the response variables. All analyses were performed in R version 3.5.0 </w:t>
      </w:r>
      <w:r w:rsidRPr="008E0C1D">
        <w:rPr>
          <w:noProof/>
          <w:color w:val="000000" w:themeColor="text1"/>
          <w:lang w:val="en-GB"/>
        </w:rPr>
        <w:t>(</w:t>
      </w:r>
      <w:r w:rsidRPr="008E0C1D">
        <w:rPr>
          <w:i/>
          <w:noProof/>
          <w:color w:val="000000" w:themeColor="text1"/>
          <w:lang w:val="en-GB"/>
        </w:rPr>
        <w:t>58</w:t>
      </w:r>
      <w:r w:rsidRPr="008E0C1D">
        <w:rPr>
          <w:noProof/>
          <w:color w:val="000000" w:themeColor="text1"/>
          <w:lang w:val="en-GB"/>
        </w:rPr>
        <w:t>)</w:t>
      </w:r>
      <w:r w:rsidRPr="008E0C1D">
        <w:rPr>
          <w:color w:val="000000" w:themeColor="text1"/>
        </w:rPr>
        <w:t>.</w:t>
      </w:r>
    </w:p>
    <w:p w14:paraId="7447EAAB" w14:textId="77777777" w:rsidR="004428C2" w:rsidRPr="008E0C1D" w:rsidRDefault="004428C2" w:rsidP="004428C2">
      <w:pPr>
        <w:widowControl w:val="0"/>
        <w:rPr>
          <w:bCs/>
          <w:color w:val="000000" w:themeColor="text1"/>
        </w:rPr>
      </w:pPr>
    </w:p>
    <w:p w14:paraId="0602AA1F" w14:textId="77777777" w:rsidR="004428C2" w:rsidRPr="008E0C1D" w:rsidRDefault="004428C2" w:rsidP="004428C2">
      <w:pPr>
        <w:widowControl w:val="0"/>
        <w:rPr>
          <w:bCs/>
          <w:color w:val="000000" w:themeColor="text1"/>
        </w:rPr>
      </w:pPr>
      <w:r w:rsidRPr="008E0C1D">
        <w:rPr>
          <w:bCs/>
          <w:color w:val="000000" w:themeColor="text1"/>
        </w:rPr>
        <w:t>Sensitivity analyses</w:t>
      </w:r>
    </w:p>
    <w:p w14:paraId="2F450E73" w14:textId="77777777" w:rsidR="004428C2" w:rsidRPr="008E0C1D" w:rsidRDefault="004428C2" w:rsidP="004428C2">
      <w:pPr>
        <w:widowControl w:val="0"/>
        <w:rPr>
          <w:color w:val="000000" w:themeColor="text1"/>
        </w:rPr>
      </w:pPr>
    </w:p>
    <w:p w14:paraId="07482B8C" w14:textId="77777777" w:rsidR="004428C2" w:rsidRPr="008E0C1D" w:rsidRDefault="004428C2" w:rsidP="004428C2">
      <w:pPr>
        <w:rPr>
          <w:color w:val="000000" w:themeColor="text1"/>
        </w:rPr>
      </w:pPr>
      <w:r w:rsidRPr="008E0C1D">
        <w:rPr>
          <w:color w:val="000000" w:themeColor="text1"/>
        </w:rPr>
        <w:t>We performed a thorough sensititvity analysis to test: (1) for effects from different approaches to calculate the thermophilisation rate; (2) if our main results and conclusions are affected by the presence of rare species; (3) whether our results are confounded by changes in light availability brought about by changes in canopy cover, and (4) whether the use of coarser-gridded CRU climate data affected our results.</w:t>
      </w:r>
    </w:p>
    <w:p w14:paraId="76BB3E32" w14:textId="77777777" w:rsidR="004428C2" w:rsidRPr="008E0C1D" w:rsidRDefault="004428C2" w:rsidP="004428C2">
      <w:pPr>
        <w:rPr>
          <w:color w:val="000000" w:themeColor="text1"/>
        </w:rPr>
      </w:pPr>
      <w:r w:rsidRPr="008E0C1D">
        <w:rPr>
          <w:color w:val="000000" w:themeColor="text1"/>
        </w:rPr>
        <w:tab/>
        <w:t>As stated above, we were particularly interested in testing for shifts in the relative dominance in warm-affinity species and therefore quantified the thermophilisation rate as the difference (shifts) between the 95</w:t>
      </w:r>
      <w:r w:rsidRPr="008E0C1D">
        <w:rPr>
          <w:color w:val="000000" w:themeColor="text1"/>
          <w:vertAlign w:val="superscript"/>
        </w:rPr>
        <w:t>th</w:t>
      </w:r>
      <w:r w:rsidRPr="008E0C1D">
        <w:rPr>
          <w:color w:val="000000" w:themeColor="text1"/>
        </w:rPr>
        <w:t xml:space="preserve"> percentiles of the floristic temperature distribution between the baseline survey and the resurvey </w:t>
      </w:r>
      <w:r w:rsidRPr="008E0C1D">
        <w:rPr>
          <w:noProof/>
          <w:color w:val="000000" w:themeColor="text1"/>
        </w:rPr>
        <w:t>(</w:t>
      </w:r>
      <w:r w:rsidRPr="008E0C1D">
        <w:rPr>
          <w:i/>
          <w:noProof/>
          <w:color w:val="000000" w:themeColor="text1"/>
        </w:rPr>
        <w:t>14</w:t>
      </w:r>
      <w:r w:rsidRPr="008E0C1D">
        <w:rPr>
          <w:noProof/>
          <w:color w:val="000000" w:themeColor="text1"/>
        </w:rPr>
        <w:t>)</w:t>
      </w:r>
      <w:r w:rsidRPr="008E0C1D">
        <w:rPr>
          <w:color w:val="000000" w:themeColor="text1"/>
        </w:rPr>
        <w:t>. Alternatively, thermophilisation rates are often derived from shifts in the 50</w:t>
      </w:r>
      <w:r w:rsidRPr="008E0C1D">
        <w:rPr>
          <w:color w:val="000000" w:themeColor="text1"/>
          <w:vertAlign w:val="superscript"/>
        </w:rPr>
        <w:t>th</w:t>
      </w:r>
      <w:r w:rsidRPr="008E0C1D">
        <w:rPr>
          <w:color w:val="000000" w:themeColor="text1"/>
        </w:rPr>
        <w:t xml:space="preserve"> percentiles of floristic temperatures, which indicate a shift in median floristic temperatures, which appears most adequate when related to shifts in mean temperatures. To test if using the median floristic temperatures to calculate thermophilisation would have resulted in different findings and conclusions, we re-run all major analysis using the 50</w:t>
      </w:r>
      <w:r w:rsidRPr="008E0C1D">
        <w:rPr>
          <w:color w:val="000000" w:themeColor="text1"/>
          <w:vertAlign w:val="superscript"/>
        </w:rPr>
        <w:t>th</w:t>
      </w:r>
      <w:r w:rsidRPr="008E0C1D">
        <w:rPr>
          <w:color w:val="000000" w:themeColor="text1"/>
        </w:rPr>
        <w:t xml:space="preserve"> percentile (i.e., median) of floristic temperatures. The resulting thermophilisation rates ranged from -0.74 to 0.92 (mean: 0.02 </w:t>
      </w:r>
      <w:r w:rsidRPr="008E0C1D">
        <w:rPr>
          <w:color w:val="000000" w:themeColor="text1"/>
          <w:szCs w:val="24"/>
        </w:rPr>
        <w:t>+/-</w:t>
      </w:r>
      <w:r w:rsidRPr="008E0C1D">
        <w:rPr>
          <w:color w:val="000000" w:themeColor="text1"/>
        </w:rPr>
        <w:t xml:space="preserve"> 0.005 (SEM) °C per decade, </w:t>
      </w:r>
      <w:r w:rsidRPr="008E0C1D">
        <w:rPr>
          <w:i/>
          <w:color w:val="000000" w:themeColor="text1"/>
        </w:rPr>
        <w:t>P</w:t>
      </w:r>
      <w:r w:rsidRPr="008E0C1D">
        <w:rPr>
          <w:color w:val="000000" w:themeColor="text1"/>
        </w:rPr>
        <w:t xml:space="preserve"> &lt; 0.001), indicating that thermophilisation has occurred in our plots. The relationships between the thermophilisation rate and the rate of micro- as well as macroclimate change were similar but statistically weaker than the relationships reported in the main text (Supplementary Fig. S8). Moreover, thermophilisation may be caused by shifts in relative abundances of cold-affinity species, which in turn should be best represented in shifts in the 5</w:t>
      </w:r>
      <w:r w:rsidRPr="008E0C1D">
        <w:rPr>
          <w:color w:val="000000" w:themeColor="text1"/>
          <w:vertAlign w:val="superscript"/>
        </w:rPr>
        <w:t>th</w:t>
      </w:r>
      <w:r w:rsidRPr="008E0C1D">
        <w:rPr>
          <w:color w:val="000000" w:themeColor="text1"/>
        </w:rPr>
        <w:t xml:space="preserve"> percentile of floristic temperatures </w:t>
      </w:r>
      <w:r w:rsidRPr="008E0C1D">
        <w:rPr>
          <w:noProof/>
          <w:color w:val="000000" w:themeColor="text1"/>
        </w:rPr>
        <w:t>(</w:t>
      </w:r>
      <w:r w:rsidRPr="008E0C1D">
        <w:rPr>
          <w:i/>
          <w:noProof/>
          <w:color w:val="000000" w:themeColor="text1"/>
        </w:rPr>
        <w:t>14</w:t>
      </w:r>
      <w:r w:rsidRPr="008E0C1D">
        <w:rPr>
          <w:noProof/>
          <w:color w:val="000000" w:themeColor="text1"/>
        </w:rPr>
        <w:t>)</w:t>
      </w:r>
      <w:r w:rsidRPr="008E0C1D">
        <w:rPr>
          <w:color w:val="000000" w:themeColor="text1"/>
        </w:rPr>
        <w:t>. Re-running the analyses using shifts in the 5</w:t>
      </w:r>
      <w:r w:rsidRPr="008E0C1D">
        <w:rPr>
          <w:color w:val="000000" w:themeColor="text1"/>
          <w:vertAlign w:val="superscript"/>
        </w:rPr>
        <w:t>th</w:t>
      </w:r>
      <w:r w:rsidRPr="008E0C1D">
        <w:rPr>
          <w:color w:val="000000" w:themeColor="text1"/>
        </w:rPr>
        <w:t xml:space="preserve"> percentiles revealed thermophilisation rates ranging from -1.42 to 1.48 (mean: 0.04 </w:t>
      </w:r>
      <w:r w:rsidRPr="008E0C1D">
        <w:rPr>
          <w:color w:val="000000" w:themeColor="text1"/>
          <w:szCs w:val="24"/>
        </w:rPr>
        <w:t>+/-</w:t>
      </w:r>
      <w:r w:rsidRPr="008E0C1D">
        <w:rPr>
          <w:color w:val="000000" w:themeColor="text1"/>
        </w:rPr>
        <w:t xml:space="preserve"> 0.01 (SEM) °C per decade, </w:t>
      </w:r>
      <w:r w:rsidRPr="008E0C1D">
        <w:rPr>
          <w:i/>
          <w:color w:val="000000" w:themeColor="text1"/>
        </w:rPr>
        <w:t>P</w:t>
      </w:r>
      <w:r w:rsidRPr="008E0C1D">
        <w:rPr>
          <w:color w:val="000000" w:themeColor="text1"/>
        </w:rPr>
        <w:t xml:space="preserve"> &lt; 0.001). This finding indicates that thermophilisation may result from community filtering effects at cold range edges of species distributions. Testing how temperature changes may have triggered shifts in cold-affinity species provides an interesting avenue requiring data on floristic temperature distributions calculated from minimum temperatures, as well as actual changes in minimum temperatures. Here, we focus on maximum temperatures and indeed, we found that the thermophilisation rate based on the shifts in 5</w:t>
      </w:r>
      <w:r w:rsidRPr="008E0C1D">
        <w:rPr>
          <w:color w:val="000000" w:themeColor="text1"/>
          <w:vertAlign w:val="superscript"/>
        </w:rPr>
        <w:t>th</w:t>
      </w:r>
      <w:r w:rsidRPr="008E0C1D">
        <w:rPr>
          <w:color w:val="000000" w:themeColor="text1"/>
        </w:rPr>
        <w:t xml:space="preserve"> percentile was neither related to the rate of microclimate change (scaled slope estimate: 0.00, CI: -0.01 – 0.01, P = 0.35), nor to the rate of macroclimate change (scaled slope estimate: 0.00, CI: -0.01 – 0.02, P = 0.67). In summary, these additional analyses support our assumption that changes in microclimate </w:t>
      </w:r>
      <w:r w:rsidRPr="008E0C1D">
        <w:rPr>
          <w:color w:val="000000" w:themeColor="text1"/>
        </w:rPr>
        <w:lastRenderedPageBreak/>
        <w:t>maximum temperatures are more closely related to shifts at the warm end of the floristic temperature distribution, i.e., that community shifts have been caused by differences in species-specific heat affinities and tolerances.</w:t>
      </w:r>
    </w:p>
    <w:p w14:paraId="084E080B" w14:textId="77777777" w:rsidR="004428C2" w:rsidRPr="008E0C1D" w:rsidRDefault="004428C2" w:rsidP="004428C2">
      <w:pPr>
        <w:ind w:firstLine="720"/>
        <w:rPr>
          <w:color w:val="000000" w:themeColor="text1"/>
        </w:rPr>
      </w:pPr>
      <w:r w:rsidRPr="008E0C1D">
        <w:rPr>
          <w:color w:val="000000" w:themeColor="text1"/>
        </w:rPr>
        <w:t>To test whether the presence of rare species affected our findings and conclusions, we re-run the analyses using a dataset where all rare plant species with a cover abundance of less than 1 % at the plot level were excluded. Doing so led to a reduction of the sample size for the thermophilisation analysis, because in 109 surveys out of all baseline surveys or resurveys, no vascular plant species in the herb-layer occurred with a cover of 1 % or more. This prevented the calculation of a floristic temperature and resulted in the exclusion of 109 plots (3.7%) from the 2955 plots, leading to a sample size of n = 2846 plot for the thermophilisation analysis. The resulting thermophilisation rates as calculated based on shifts in the 95</w:t>
      </w:r>
      <w:r w:rsidRPr="008E0C1D">
        <w:rPr>
          <w:color w:val="000000" w:themeColor="text1"/>
          <w:vertAlign w:val="superscript"/>
        </w:rPr>
        <w:t>th</w:t>
      </w:r>
      <w:r w:rsidRPr="008E0C1D">
        <w:rPr>
          <w:color w:val="000000" w:themeColor="text1"/>
        </w:rPr>
        <w:t xml:space="preserve"> percentile of floristic temperatures ranged from -1.03 to 1.54 (mean: 0.03 </w:t>
      </w:r>
      <w:r w:rsidRPr="008E0C1D">
        <w:rPr>
          <w:color w:val="000000" w:themeColor="text1"/>
          <w:szCs w:val="24"/>
        </w:rPr>
        <w:t xml:space="preserve">+/- </w:t>
      </w:r>
      <w:r w:rsidRPr="008E0C1D">
        <w:rPr>
          <w:color w:val="000000" w:themeColor="text1"/>
        </w:rPr>
        <w:t xml:space="preserve">0.01 (SEM) °C per decade, </w:t>
      </w:r>
      <w:r w:rsidRPr="008E0C1D">
        <w:rPr>
          <w:i/>
          <w:color w:val="000000" w:themeColor="text1"/>
        </w:rPr>
        <w:t>P</w:t>
      </w:r>
      <w:r w:rsidRPr="008E0C1D">
        <w:rPr>
          <w:color w:val="000000" w:themeColor="text1"/>
        </w:rPr>
        <w:t xml:space="preserve"> = 0.015). Relating the thermophilisation rate to the rates of micro- and macroclimate change revealed that thermophilisation was primarily linked to the rate of microclimate warming, and not to the rate of macroclimate warming (scaled slope estimate for microclimate change: 0.036, CI: 0.025 – 0.048, P &lt; 0.001; scaled slope estimate for macroclimate change: 0.017, CI: -0.002 – 0.037, P = 0.076) (Supplementary Fig. S9). Thus, excluding rare species did not change our main findings and reinforced our conclusions.</w:t>
      </w:r>
    </w:p>
    <w:p w14:paraId="3497357C" w14:textId="77777777" w:rsidR="004428C2" w:rsidRPr="008E0C1D" w:rsidRDefault="004428C2" w:rsidP="004428C2">
      <w:pPr>
        <w:ind w:firstLine="720"/>
        <w:rPr>
          <w:color w:val="000000" w:themeColor="text1"/>
        </w:rPr>
      </w:pPr>
      <w:r w:rsidRPr="008E0C1D">
        <w:rPr>
          <w:color w:val="000000" w:themeColor="text1"/>
        </w:rPr>
        <w:t xml:space="preserve">It is worth noting that we found a large variation in the thermophilisation rate, which can also be caused by factors other than sub-canopy temperature. For example, plant species distribution may be constrained by biotic interactions, soil moisture or soil acidity or nutrient concentrations, all of which can affect community responses to climate change, and thus also the thermophilisation rate </w:t>
      </w:r>
      <w:r w:rsidRPr="008E0C1D">
        <w:rPr>
          <w:noProof/>
          <w:color w:val="000000" w:themeColor="text1"/>
          <w:lang w:val="en-GB"/>
        </w:rPr>
        <w:t>(</w:t>
      </w:r>
      <w:r w:rsidRPr="008E0C1D">
        <w:rPr>
          <w:i/>
          <w:noProof/>
          <w:color w:val="000000" w:themeColor="text1"/>
          <w:lang w:val="en-GB"/>
        </w:rPr>
        <w:t>11</w:t>
      </w:r>
      <w:r w:rsidRPr="008E0C1D">
        <w:rPr>
          <w:noProof/>
          <w:color w:val="000000" w:themeColor="text1"/>
          <w:lang w:val="en-GB"/>
        </w:rPr>
        <w:t>)</w:t>
      </w:r>
      <w:r w:rsidRPr="008E0C1D">
        <w:rPr>
          <w:color w:val="000000" w:themeColor="text1"/>
          <w:lang w:val="en-GB"/>
        </w:rPr>
        <w:t>.</w:t>
      </w:r>
    </w:p>
    <w:p w14:paraId="27EBA553" w14:textId="77777777" w:rsidR="004428C2" w:rsidRPr="008E0C1D" w:rsidRDefault="004428C2" w:rsidP="004428C2">
      <w:pPr>
        <w:ind w:firstLine="720"/>
        <w:rPr>
          <w:color w:val="000000" w:themeColor="text1"/>
        </w:rPr>
      </w:pPr>
      <w:r w:rsidRPr="008E0C1D">
        <w:rPr>
          <w:color w:val="000000" w:themeColor="text1"/>
        </w:rPr>
        <w:t xml:space="preserve">Variation in community composition over time resulting in thermophilisation could be confounded by changes in light availability brought about by changes in canopy cover. To test for potentially confounding effects of light availability we calculated the plot-level changes in canopy cover between the baseline survey and the resurvey as response ratios, i.e., log(baseline cover/resurvey cover), following the approach in De Frenne et al. </w:t>
      </w:r>
      <w:r w:rsidRPr="008E0C1D">
        <w:rPr>
          <w:noProof/>
          <w:color w:val="000000" w:themeColor="text1"/>
          <w:lang w:val="en-GB"/>
        </w:rPr>
        <w:t>(</w:t>
      </w:r>
      <w:r w:rsidRPr="008E0C1D">
        <w:rPr>
          <w:i/>
          <w:noProof/>
          <w:color w:val="000000" w:themeColor="text1"/>
          <w:lang w:val="en-GB"/>
        </w:rPr>
        <w:t>14</w:t>
      </w:r>
      <w:r w:rsidRPr="008E0C1D">
        <w:rPr>
          <w:noProof/>
          <w:color w:val="000000" w:themeColor="text1"/>
          <w:lang w:val="en-GB"/>
        </w:rPr>
        <w:t>)</w:t>
      </w:r>
      <w:r w:rsidRPr="008E0C1D">
        <w:rPr>
          <w:color w:val="000000" w:themeColor="text1"/>
        </w:rPr>
        <w:t xml:space="preserve">. We then calculated a univariate LMM with canopy cover response ratios as a fixed effect variable and ‘region’ as a random intercept term. This model showed that thermophilisation increases with decreasing canopy cover response ratios, i.e. increasing light availability (slope: -0.01, P = 0.051) (Supplementary Fig. S10, see also De Frenne et al. </w:t>
      </w:r>
      <w:r w:rsidRPr="008E0C1D">
        <w:rPr>
          <w:noProof/>
          <w:color w:val="000000" w:themeColor="text1"/>
          <w:lang w:val="en-GB"/>
        </w:rPr>
        <w:t>(</w:t>
      </w:r>
      <w:r w:rsidRPr="008E0C1D">
        <w:rPr>
          <w:i/>
          <w:noProof/>
          <w:color w:val="000000" w:themeColor="text1"/>
          <w:lang w:val="en-GB"/>
        </w:rPr>
        <w:t>14</w:t>
      </w:r>
      <w:r w:rsidRPr="008E0C1D">
        <w:rPr>
          <w:noProof/>
          <w:color w:val="000000" w:themeColor="text1"/>
          <w:lang w:val="en-GB"/>
        </w:rPr>
        <w:t>)</w:t>
      </w:r>
      <w:r w:rsidRPr="008E0C1D">
        <w:rPr>
          <w:color w:val="000000" w:themeColor="text1"/>
        </w:rPr>
        <w:t xml:space="preserve">), a finding that we attribute to the correlation between the rate of microclimate change and changes in light availability, as indicated by an increase in the rate of microclimate change (warming) with decreasing canopy cover response ratios (slope: -0.24, R-squared: 0.21, </w:t>
      </w:r>
      <w:r w:rsidRPr="008E0C1D">
        <w:rPr>
          <w:i/>
          <w:color w:val="000000" w:themeColor="text1"/>
        </w:rPr>
        <w:t>P</w:t>
      </w:r>
      <w:r w:rsidRPr="008E0C1D">
        <w:rPr>
          <w:color w:val="000000" w:themeColor="text1"/>
        </w:rPr>
        <w:t xml:space="preserve"> &lt; 0.001). Based on niche theory we expected that microclimate change be more directly related to thermophilisation than light availability, because microclimate temperature is directly related to species thermal niche requirements. In support of this assumption we found that our microclimate model explains thermophilisation rates better than the light availability model, as indicated by AIC values of -2478 and -2465 (</w:t>
      </w:r>
      <w:r w:rsidRPr="008E0C1D">
        <w:rPr>
          <w:i/>
          <w:color w:val="000000" w:themeColor="text1"/>
        </w:rPr>
        <w:t>P</w:t>
      </w:r>
      <w:r w:rsidRPr="008E0C1D">
        <w:rPr>
          <w:color w:val="000000" w:themeColor="text1"/>
        </w:rPr>
        <w:t xml:space="preserve"> &lt; 0.001), respectively. Moreover, the rate of microclimate change was significantly and positively related to the residuals of the light availability model, suggesting that our microclimate temperature change data holds important additional information for explaining the thermophilisation rate (slope: 0.02, </w:t>
      </w:r>
      <w:r w:rsidRPr="008E0C1D">
        <w:rPr>
          <w:i/>
          <w:color w:val="000000" w:themeColor="text1"/>
        </w:rPr>
        <w:t>P</w:t>
      </w:r>
      <w:r w:rsidRPr="008E0C1D">
        <w:rPr>
          <w:color w:val="000000" w:themeColor="text1"/>
        </w:rPr>
        <w:t xml:space="preserve"> = 0.049). The combination of the rate of microclimate change and light availability did not significantly improve the model including the rate of microclimate change alone (difference in AIC values &lt; 2, </w:t>
      </w:r>
      <w:r w:rsidRPr="008E0C1D">
        <w:rPr>
          <w:i/>
          <w:color w:val="000000" w:themeColor="text1"/>
        </w:rPr>
        <w:t>P</w:t>
      </w:r>
      <w:r w:rsidRPr="008E0C1D">
        <w:rPr>
          <w:color w:val="000000" w:themeColor="text1"/>
        </w:rPr>
        <w:t xml:space="preserve"> &gt; 0.05). Adding the interaction term between the rate of microclimate change and light availability improved the model, as indicated by AIC values of -2483 and -2478 (</w:t>
      </w:r>
      <w:r w:rsidRPr="008E0C1D">
        <w:rPr>
          <w:i/>
          <w:color w:val="000000" w:themeColor="text1"/>
        </w:rPr>
        <w:t>P</w:t>
      </w:r>
      <w:r w:rsidRPr="008E0C1D">
        <w:rPr>
          <w:color w:val="000000" w:themeColor="text1"/>
        </w:rPr>
        <w:t xml:space="preserve"> = 0.016), respectively, suggesting that the effect of microclimate warming on thermophilisation increased with increasing light availability, a finding that corroborates previous experimental findings </w:t>
      </w:r>
      <w:r w:rsidRPr="008E0C1D">
        <w:rPr>
          <w:noProof/>
          <w:color w:val="000000" w:themeColor="text1"/>
        </w:rPr>
        <w:t>(</w:t>
      </w:r>
      <w:r w:rsidRPr="008E0C1D">
        <w:rPr>
          <w:i/>
          <w:noProof/>
          <w:color w:val="000000" w:themeColor="text1"/>
        </w:rPr>
        <w:t>59</w:t>
      </w:r>
      <w:r w:rsidRPr="008E0C1D">
        <w:rPr>
          <w:noProof/>
          <w:color w:val="000000" w:themeColor="text1"/>
        </w:rPr>
        <w:t>)</w:t>
      </w:r>
      <w:r w:rsidRPr="008E0C1D">
        <w:rPr>
          <w:color w:val="000000" w:themeColor="text1"/>
        </w:rPr>
        <w:t xml:space="preserve">. Taken together, these results suggest that our main findings and conclusions are not confounded by the effects of changes in light availability </w:t>
      </w:r>
      <w:r w:rsidRPr="008E0C1D">
        <w:rPr>
          <w:i/>
          <w:color w:val="000000" w:themeColor="text1"/>
        </w:rPr>
        <w:t>per se</w:t>
      </w:r>
      <w:r w:rsidRPr="008E0C1D">
        <w:rPr>
          <w:color w:val="000000" w:themeColor="text1"/>
        </w:rPr>
        <w:t>.</w:t>
      </w:r>
    </w:p>
    <w:p w14:paraId="16321B60" w14:textId="77777777" w:rsidR="004428C2" w:rsidRPr="008E0C1D" w:rsidRDefault="004428C2" w:rsidP="004428C2">
      <w:pPr>
        <w:ind w:firstLine="720"/>
        <w:rPr>
          <w:color w:val="000000" w:themeColor="text1"/>
        </w:rPr>
      </w:pPr>
      <w:r w:rsidRPr="008E0C1D">
        <w:rPr>
          <w:color w:val="000000" w:themeColor="text1"/>
        </w:rPr>
        <w:t>We further tested if the exclusion of the coarser-gridded CRU data (i.e. analysing plot-level changes with complete TerraClimate data coverage only) affected our results, i.e. the relationship between the rates of micro- and macroclimate change and the thermophilisation rate, and found that it did not: the thermophilisation rate was only statistically related to the rate of microclimate change (scaled slope estimate: 0.02, 95</w:t>
      </w:r>
      <w:r w:rsidRPr="008E0C1D">
        <w:rPr>
          <w:color w:val="000000" w:themeColor="text1"/>
          <w:vertAlign w:val="superscript"/>
        </w:rPr>
        <w:t>th</w:t>
      </w:r>
      <w:r w:rsidRPr="008E0C1D">
        <w:rPr>
          <w:color w:val="000000" w:themeColor="text1"/>
        </w:rPr>
        <w:t xml:space="preserve"> confidence interval (CI): 0.01 - 0.03, </w:t>
      </w:r>
      <w:r w:rsidRPr="008E0C1D">
        <w:rPr>
          <w:i/>
          <w:color w:val="000000" w:themeColor="text1"/>
        </w:rPr>
        <w:t>P</w:t>
      </w:r>
      <w:r w:rsidRPr="008E0C1D">
        <w:rPr>
          <w:color w:val="000000" w:themeColor="text1"/>
        </w:rPr>
        <w:t xml:space="preserve"> &lt; 0.001), and not to the rate of macroclimate change (scaled slope estimate: -0.01, CI: -0.03 - 0.00, </w:t>
      </w:r>
      <w:r w:rsidRPr="008E0C1D">
        <w:rPr>
          <w:i/>
          <w:color w:val="000000" w:themeColor="text1"/>
        </w:rPr>
        <w:t>P</w:t>
      </w:r>
      <w:r w:rsidRPr="008E0C1D">
        <w:rPr>
          <w:color w:val="000000" w:themeColor="text1"/>
        </w:rPr>
        <w:t xml:space="preserve"> = 0.12).</w:t>
      </w:r>
    </w:p>
    <w:p w14:paraId="1B50EA86" w14:textId="77777777" w:rsidR="004428C2" w:rsidRPr="008E0C1D" w:rsidRDefault="004428C2" w:rsidP="004428C2">
      <w:pPr>
        <w:ind w:firstLine="720"/>
        <w:rPr>
          <w:color w:val="000000" w:themeColor="text1"/>
        </w:rPr>
      </w:pPr>
    </w:p>
    <w:p w14:paraId="0A41D673" w14:textId="77777777" w:rsidR="004428C2" w:rsidRPr="008E0C1D" w:rsidRDefault="004428C2" w:rsidP="004428C2">
      <w:pPr>
        <w:rPr>
          <w:color w:val="000000" w:themeColor="text1"/>
          <w:u w:val="words"/>
        </w:rPr>
      </w:pPr>
      <w:r w:rsidRPr="008E0C1D">
        <w:rPr>
          <w:color w:val="000000" w:themeColor="text1"/>
        </w:rPr>
        <w:br w:type="page"/>
      </w:r>
    </w:p>
    <w:p w14:paraId="1ACC9CFF" w14:textId="77777777" w:rsidR="004428C2" w:rsidRPr="008E0C1D" w:rsidRDefault="004428C2" w:rsidP="004428C2">
      <w:pPr>
        <w:tabs>
          <w:tab w:val="left" w:pos="5832"/>
        </w:tabs>
        <w:rPr>
          <w:color w:val="000000" w:themeColor="text1"/>
        </w:rPr>
      </w:pPr>
    </w:p>
    <w:p w14:paraId="36AFA45A" w14:textId="77777777" w:rsidR="004428C2" w:rsidRPr="008E0C1D" w:rsidRDefault="004428C2" w:rsidP="004428C2">
      <w:pPr>
        <w:tabs>
          <w:tab w:val="left" w:pos="5832"/>
        </w:tabs>
        <w:rPr>
          <w:color w:val="000000" w:themeColor="text1"/>
        </w:rPr>
      </w:pPr>
      <w:r w:rsidRPr="008E0C1D">
        <w:rPr>
          <w:noProof/>
          <w:color w:val="000000" w:themeColor="text1"/>
        </w:rPr>
        <w:drawing>
          <wp:inline distT="0" distB="0" distL="0" distR="0" wp14:anchorId="1178737C" wp14:editId="54F31298">
            <wp:extent cx="3408680" cy="1945640"/>
            <wp:effectExtent l="0" t="0" r="0" b="0"/>
            <wp:docPr id="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08680" cy="1945640"/>
                    </a:xfrm>
                    <a:prstGeom prst="rect">
                      <a:avLst/>
                    </a:prstGeom>
                    <a:noFill/>
                    <a:ln>
                      <a:noFill/>
                    </a:ln>
                  </pic:spPr>
                </pic:pic>
              </a:graphicData>
            </a:graphic>
          </wp:inline>
        </w:drawing>
      </w:r>
    </w:p>
    <w:p w14:paraId="0B40CFA3" w14:textId="77777777" w:rsidR="004428C2" w:rsidRPr="008E0C1D" w:rsidRDefault="004428C2" w:rsidP="004428C2">
      <w:pPr>
        <w:tabs>
          <w:tab w:val="left" w:pos="5832"/>
        </w:tabs>
        <w:rPr>
          <w:color w:val="000000" w:themeColor="text1"/>
        </w:rPr>
      </w:pPr>
      <w:r w:rsidRPr="008E0C1D">
        <w:rPr>
          <w:b/>
          <w:color w:val="000000" w:themeColor="text1"/>
        </w:rPr>
        <w:t>Fig. S1. Frequency distribution of forest plot survey years.</w:t>
      </w:r>
      <w:r w:rsidRPr="008E0C1D">
        <w:rPr>
          <w:color w:val="000000" w:themeColor="text1"/>
        </w:rPr>
        <w:t xml:space="preserve"> Vegetation surveys in each plot were carried out twice between the years 1934 and 2017, with a median (range) time difference between the baseline surveys and resurveys of 38 (12 – 66) years.</w:t>
      </w:r>
    </w:p>
    <w:p w14:paraId="506A69DE" w14:textId="77777777" w:rsidR="004428C2" w:rsidRPr="008E0C1D" w:rsidRDefault="004428C2" w:rsidP="004428C2">
      <w:pPr>
        <w:rPr>
          <w:color w:val="000000" w:themeColor="text1"/>
        </w:rPr>
      </w:pPr>
      <w:r w:rsidRPr="008E0C1D">
        <w:rPr>
          <w:color w:val="000000" w:themeColor="text1"/>
        </w:rPr>
        <w:br w:type="page"/>
      </w:r>
    </w:p>
    <w:p w14:paraId="1D6C58B2" w14:textId="77777777" w:rsidR="004428C2" w:rsidRPr="008E0C1D" w:rsidRDefault="004428C2" w:rsidP="004428C2">
      <w:pPr>
        <w:tabs>
          <w:tab w:val="left" w:pos="5832"/>
        </w:tabs>
        <w:rPr>
          <w:color w:val="000000" w:themeColor="text1"/>
        </w:rPr>
      </w:pPr>
      <w:r w:rsidRPr="008E0C1D">
        <w:rPr>
          <w:noProof/>
          <w:color w:val="000000" w:themeColor="text1"/>
        </w:rPr>
        <w:lastRenderedPageBreak/>
        <w:drawing>
          <wp:inline distT="0" distB="0" distL="0" distR="0" wp14:anchorId="0C1D340D" wp14:editId="5762A09A">
            <wp:extent cx="2524760" cy="1442720"/>
            <wp:effectExtent l="0" t="0" r="0" b="0"/>
            <wp:docPr id="6"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4760" cy="1442720"/>
                    </a:xfrm>
                    <a:prstGeom prst="rect">
                      <a:avLst/>
                    </a:prstGeom>
                    <a:noFill/>
                    <a:ln>
                      <a:noFill/>
                    </a:ln>
                  </pic:spPr>
                </pic:pic>
              </a:graphicData>
            </a:graphic>
          </wp:inline>
        </w:drawing>
      </w:r>
    </w:p>
    <w:p w14:paraId="60935F7B" w14:textId="77777777" w:rsidR="004428C2" w:rsidRPr="008E0C1D" w:rsidRDefault="004428C2" w:rsidP="004428C2">
      <w:pPr>
        <w:tabs>
          <w:tab w:val="left" w:pos="5832"/>
        </w:tabs>
        <w:rPr>
          <w:color w:val="000000" w:themeColor="text1"/>
        </w:rPr>
      </w:pPr>
      <w:r w:rsidRPr="008E0C1D">
        <w:rPr>
          <w:b/>
          <w:color w:val="000000" w:themeColor="text1"/>
        </w:rPr>
        <w:t xml:space="preserve">Fig. S2. Macroclimate maximum temperatures (Tmax) are buffered by canopy cover. </w:t>
      </w:r>
      <w:r w:rsidRPr="008E0C1D">
        <w:rPr>
          <w:bCs/>
          <w:color w:val="000000" w:themeColor="text1"/>
        </w:rPr>
        <w:t xml:space="preserve">To quantify the degree to which the canopy cover buffers free-air (macroclimate) maximum temperatures during </w:t>
      </w:r>
      <w:r w:rsidRPr="008E0C1D">
        <w:rPr>
          <w:color w:val="000000" w:themeColor="text1"/>
        </w:rPr>
        <w:t xml:space="preserve">summer (i.e., the growing season; </w:t>
      </w:r>
      <w:r w:rsidRPr="008E0C1D">
        <w:rPr>
          <w:bCs/>
          <w:color w:val="000000" w:themeColor="text1"/>
        </w:rPr>
        <w:t xml:space="preserve">June to August), we compared ground-truth microclimate sensor measurements in 96 forest stands to daily maximum temperatures measured at the weather station that was the closest to each stand. The temperature buffering values represent the daily microclimate maximum temperature minus the daily macroclimate maximum temperature, averaged during the growing season. This analysis revealed a positive, non-linear relationship between temperature buffering and canopy cover, as indicated by the smoothed curve with 95 % confidence intervals (light red polygons), with an R-squared of 0.26. We then used this relationship in combination with the distance to coast to predict the temperature buffering for each plot and survey year. </w:t>
      </w:r>
      <w:r w:rsidRPr="008E0C1D">
        <w:rPr>
          <w:color w:val="000000" w:themeColor="text1"/>
        </w:rPr>
        <w:t>Adding topographic variables such as elevation, topographic position or slope did not improve the predictive accuracy of the model</w:t>
      </w:r>
      <w:r w:rsidRPr="008E0C1D">
        <w:rPr>
          <w:bCs/>
          <w:color w:val="000000" w:themeColor="text1"/>
        </w:rPr>
        <w:t xml:space="preserve"> (see Methods).</w:t>
      </w:r>
    </w:p>
    <w:p w14:paraId="10C2E214" w14:textId="77777777" w:rsidR="004428C2" w:rsidRPr="008E0C1D" w:rsidRDefault="004428C2" w:rsidP="004428C2">
      <w:pPr>
        <w:rPr>
          <w:color w:val="000000" w:themeColor="text1"/>
        </w:rPr>
      </w:pPr>
      <w:r w:rsidRPr="008E0C1D">
        <w:rPr>
          <w:color w:val="000000" w:themeColor="text1"/>
        </w:rPr>
        <w:br w:type="page"/>
      </w:r>
    </w:p>
    <w:p w14:paraId="1F67DE6D" w14:textId="77777777" w:rsidR="004428C2" w:rsidRPr="008E0C1D" w:rsidRDefault="004428C2" w:rsidP="004428C2">
      <w:pPr>
        <w:tabs>
          <w:tab w:val="left" w:pos="5832"/>
        </w:tabs>
        <w:rPr>
          <w:b/>
          <w:color w:val="000000" w:themeColor="text1"/>
        </w:rPr>
      </w:pPr>
      <w:r w:rsidRPr="008E0C1D">
        <w:rPr>
          <w:noProof/>
          <w:color w:val="000000" w:themeColor="text1"/>
        </w:rPr>
        <w:lastRenderedPageBreak/>
        <mc:AlternateContent>
          <mc:Choice Requires="wps">
            <w:drawing>
              <wp:anchor distT="0" distB="0" distL="114300" distR="114300" simplePos="0" relativeHeight="251659264" behindDoc="0" locked="0" layoutInCell="1" allowOverlap="1" wp14:anchorId="7DB81187" wp14:editId="1985633A">
                <wp:simplePos x="0" y="0"/>
                <wp:positionH relativeFrom="column">
                  <wp:posOffset>278765</wp:posOffset>
                </wp:positionH>
                <wp:positionV relativeFrom="paragraph">
                  <wp:posOffset>1761490</wp:posOffset>
                </wp:positionV>
                <wp:extent cx="3595370" cy="242570"/>
                <wp:effectExtent l="0" t="0" r="0" b="0"/>
                <wp:wrapNone/>
                <wp:docPr id="42" name="TextBox 41">
                  <a:extLst xmlns:a="http://schemas.openxmlformats.org/drawingml/2006/main">
                    <a:ext uri="{FF2B5EF4-FFF2-40B4-BE49-F238E27FC236}">
                      <a16:creationId xmlns:a16="http://schemas.microsoft.com/office/drawing/2014/main" id="{764363CF-5471-5D43-BC6A-7EEA9273F482}"/>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95370" cy="242570"/>
                        </a:xfrm>
                        <a:prstGeom prst="rect">
                          <a:avLst/>
                        </a:prstGeom>
                        <a:noFill/>
                      </wps:spPr>
                      <wps:txbx>
                        <w:txbxContent>
                          <w:p w14:paraId="6EFCB88B" w14:textId="77777777" w:rsidR="004428C2" w:rsidRPr="00AA6377" w:rsidRDefault="004428C2" w:rsidP="004428C2">
                            <w:pPr>
                              <w:rPr>
                                <w:rFonts w:ascii="Arial" w:hAnsi="Arial" w:cs="Arial"/>
                                <w:sz w:val="18"/>
                                <w:szCs w:val="18"/>
                              </w:rPr>
                            </w:pPr>
                            <w:r w:rsidRPr="00805AC4">
                              <w:rPr>
                                <w:rFonts w:ascii="Arial" w:hAnsi="Arial" w:cs="Arial"/>
                                <w:color w:val="000000"/>
                                <w:kern w:val="24"/>
                                <w:sz w:val="18"/>
                                <w:szCs w:val="18"/>
                              </w:rPr>
                              <w:t>Difference in canopy cover (%) over time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7DB81187" id="_x0000_t202" coordsize="21600,21600" o:spt="202" path="m,l,21600r21600,l21600,xe">
                <v:stroke joinstyle="miter"/>
                <v:path gradientshapeok="t" o:connecttype="rect"/>
              </v:shapetype>
              <v:shape id="TextBox 41" o:spid="_x0000_s1026" type="#_x0000_t202" style="position:absolute;margin-left:21.95pt;margin-top:138.7pt;width:283.1pt;height:1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" filled="f" stroked="f">
                <v:textbox>
                  <w:txbxContent>
                    <w:p w14:paraId="6EFCB88B" w14:textId="77777777" w:rsidR="004428C2" w:rsidRPr="00AA6377" w:rsidRDefault="004428C2" w:rsidP="004428C2">
                      <w:pPr>
                        <w:rPr>
                          <w:rFonts w:ascii="Arial" w:hAnsi="Arial" w:cs="Arial"/>
                          <w:sz w:val="18"/>
                          <w:szCs w:val="18"/>
                        </w:rPr>
                      </w:pPr>
                      <w:r w:rsidRPr="00805AC4">
                        <w:rPr>
                          <w:rFonts w:ascii="Arial" w:hAnsi="Arial" w:cs="Arial"/>
                          <w:color w:val="000000"/>
                          <w:kern w:val="24"/>
                          <w:sz w:val="18"/>
                          <w:szCs w:val="18"/>
                        </w:rPr>
                        <w:t>Difference in canopy cover (%) over time</w:t>
                      </w:r>
                    </w:p>
                  </w:txbxContent>
                </v:textbox>
              </v:shape>
            </w:pict>
          </mc:Fallback>
        </mc:AlternateContent>
      </w:r>
      <w:r w:rsidRPr="008E0C1D">
        <w:rPr>
          <w:noProof/>
          <w:color w:val="000000" w:themeColor="text1"/>
        </w:rPr>
        <w:drawing>
          <wp:inline distT="0" distB="0" distL="0" distR="0" wp14:anchorId="2D3C733A" wp14:editId="031D32AB">
            <wp:extent cx="2550160" cy="1910080"/>
            <wp:effectExtent l="0" t="0" r="0" b="0"/>
            <wp:docPr id="1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50160" cy="1910080"/>
                    </a:xfrm>
                    <a:prstGeom prst="rect">
                      <a:avLst/>
                    </a:prstGeom>
                    <a:noFill/>
                    <a:ln>
                      <a:noFill/>
                    </a:ln>
                  </pic:spPr>
                </pic:pic>
              </a:graphicData>
            </a:graphic>
          </wp:inline>
        </w:drawing>
      </w:r>
    </w:p>
    <w:p w14:paraId="6ECCC82C" w14:textId="77777777" w:rsidR="004428C2" w:rsidRPr="008E0C1D" w:rsidRDefault="004428C2" w:rsidP="004428C2">
      <w:pPr>
        <w:tabs>
          <w:tab w:val="left" w:pos="5832"/>
        </w:tabs>
        <w:rPr>
          <w:b/>
          <w:color w:val="000000" w:themeColor="text1"/>
        </w:rPr>
      </w:pPr>
    </w:p>
    <w:p w14:paraId="41283240" w14:textId="77777777" w:rsidR="004428C2" w:rsidRPr="008E0C1D" w:rsidRDefault="004428C2" w:rsidP="004428C2">
      <w:pPr>
        <w:tabs>
          <w:tab w:val="left" w:pos="5832"/>
        </w:tabs>
        <w:rPr>
          <w:b/>
          <w:color w:val="000000" w:themeColor="text1"/>
        </w:rPr>
      </w:pPr>
      <w:r w:rsidRPr="008E0C1D">
        <w:rPr>
          <w:b/>
          <w:color w:val="000000" w:themeColor="text1"/>
        </w:rPr>
        <w:t>Fig. S3. Frequency distribution of t</w:t>
      </w:r>
      <w:r w:rsidRPr="008E0C1D">
        <w:rPr>
          <w:b/>
          <w:bCs/>
          <w:color w:val="000000" w:themeColor="text1"/>
        </w:rPr>
        <w:t xml:space="preserve">emporal canopy cover changes in temperate European forests.  </w:t>
      </w:r>
      <w:r w:rsidRPr="008E0C1D">
        <w:rPr>
          <w:color w:val="000000" w:themeColor="text1"/>
        </w:rPr>
        <w:t xml:space="preserve">Canopy cover changes were highly variable with a mean not significantly different from zero (2.6 %; </w:t>
      </w:r>
      <w:r w:rsidRPr="008E0C1D">
        <w:rPr>
          <w:i/>
          <w:iCs/>
          <w:color w:val="000000" w:themeColor="text1"/>
        </w:rPr>
        <w:t>P</w:t>
      </w:r>
      <w:r w:rsidRPr="008E0C1D">
        <w:rPr>
          <w:color w:val="000000" w:themeColor="text1"/>
        </w:rPr>
        <w:t xml:space="preserve"> = 0.426). The plot-level differences in canopy cover over time was calculated by subtracting the canopy cover observed in the baseline survey from the canopy cover observed in the resurvey; mean and s.e.m. are based on mixed-effects models with region as a random-effect term</w:t>
      </w:r>
      <w:r w:rsidRPr="008E0C1D">
        <w:rPr>
          <w:b/>
          <w:color w:val="000000" w:themeColor="text1"/>
        </w:rPr>
        <w:t>.</w:t>
      </w:r>
    </w:p>
    <w:p w14:paraId="3E1C9B3D" w14:textId="77777777" w:rsidR="004428C2" w:rsidRPr="008E0C1D" w:rsidRDefault="004428C2" w:rsidP="004428C2">
      <w:pPr>
        <w:rPr>
          <w:b/>
          <w:color w:val="000000" w:themeColor="text1"/>
        </w:rPr>
      </w:pPr>
      <w:r w:rsidRPr="008E0C1D">
        <w:rPr>
          <w:b/>
          <w:color w:val="000000" w:themeColor="text1"/>
        </w:rPr>
        <w:br w:type="page"/>
      </w:r>
    </w:p>
    <w:p w14:paraId="6A7C52C4" w14:textId="77777777" w:rsidR="004428C2" w:rsidRPr="008E0C1D" w:rsidRDefault="004428C2" w:rsidP="004428C2">
      <w:pPr>
        <w:tabs>
          <w:tab w:val="left" w:pos="5832"/>
        </w:tabs>
        <w:rPr>
          <w:color w:val="000000" w:themeColor="text1"/>
        </w:rPr>
      </w:pPr>
      <w:r w:rsidRPr="008E0C1D">
        <w:rPr>
          <w:noProof/>
          <w:color w:val="000000" w:themeColor="text1"/>
        </w:rPr>
        <w:lastRenderedPageBreak/>
        <w:drawing>
          <wp:inline distT="0" distB="0" distL="0" distR="0" wp14:anchorId="122D7F40" wp14:editId="76776568">
            <wp:extent cx="3601720" cy="2118360"/>
            <wp:effectExtent l="0" t="0" r="0" b="0"/>
            <wp:docPr id="1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1720" cy="2118360"/>
                    </a:xfrm>
                    <a:prstGeom prst="rect">
                      <a:avLst/>
                    </a:prstGeom>
                    <a:noFill/>
                    <a:ln>
                      <a:noFill/>
                    </a:ln>
                  </pic:spPr>
                </pic:pic>
              </a:graphicData>
            </a:graphic>
          </wp:inline>
        </w:drawing>
      </w:r>
    </w:p>
    <w:p w14:paraId="3E8020B7" w14:textId="77777777" w:rsidR="004428C2" w:rsidRPr="008E0C1D" w:rsidRDefault="004428C2" w:rsidP="004428C2">
      <w:pPr>
        <w:tabs>
          <w:tab w:val="left" w:pos="5832"/>
        </w:tabs>
        <w:rPr>
          <w:color w:val="000000" w:themeColor="text1"/>
        </w:rPr>
      </w:pPr>
      <w:r w:rsidRPr="008E0C1D">
        <w:rPr>
          <w:b/>
          <w:color w:val="000000" w:themeColor="text1"/>
        </w:rPr>
        <w:t xml:space="preserve">Fig. S4. Microclimate change rates were more variable than macroclimate change rates. </w:t>
      </w:r>
      <w:r w:rsidRPr="008E0C1D">
        <w:rPr>
          <w:bCs/>
          <w:color w:val="000000" w:themeColor="text1"/>
        </w:rPr>
        <w:t xml:space="preserve">The plot shows the frequency distributions of micro- and macroclimate change rates as calculated based on the changes in canopy cover and associated changes in temperature buffering. </w:t>
      </w:r>
      <w:r w:rsidRPr="008E0C1D">
        <w:rPr>
          <w:color w:val="000000" w:themeColor="text1"/>
        </w:rPr>
        <w:t>The distribution of microclimate change rates of growing season maximum temperatures (Tmax) varied between -0.32 to 1.36 (1</w:t>
      </w:r>
      <w:r w:rsidRPr="008E0C1D">
        <w:rPr>
          <w:color w:val="000000" w:themeColor="text1"/>
          <w:vertAlign w:val="superscript"/>
        </w:rPr>
        <w:t>st</w:t>
      </w:r>
      <w:r w:rsidRPr="008E0C1D">
        <w:rPr>
          <w:color w:val="000000" w:themeColor="text1"/>
        </w:rPr>
        <w:t xml:space="preserve"> and 99</w:t>
      </w:r>
      <w:r w:rsidRPr="008E0C1D">
        <w:rPr>
          <w:color w:val="000000" w:themeColor="text1"/>
          <w:vertAlign w:val="superscript"/>
        </w:rPr>
        <w:t>th</w:t>
      </w:r>
      <w:r w:rsidRPr="008E0C1D">
        <w:rPr>
          <w:color w:val="000000" w:themeColor="text1"/>
        </w:rPr>
        <w:t xml:space="preserve"> percentiles), with a range of 1.68 °C per decade, whereas the respective distribution of macroclimate change rates varied between -0.08 – 1.08 (1</w:t>
      </w:r>
      <w:r w:rsidRPr="008E0C1D">
        <w:rPr>
          <w:color w:val="000000" w:themeColor="text1"/>
          <w:vertAlign w:val="superscript"/>
        </w:rPr>
        <w:t>st</w:t>
      </w:r>
      <w:r w:rsidRPr="008E0C1D">
        <w:rPr>
          <w:color w:val="000000" w:themeColor="text1"/>
        </w:rPr>
        <w:t xml:space="preserve"> and 99</w:t>
      </w:r>
      <w:r w:rsidRPr="008E0C1D">
        <w:rPr>
          <w:color w:val="000000" w:themeColor="text1"/>
          <w:vertAlign w:val="superscript"/>
        </w:rPr>
        <w:t>th</w:t>
      </w:r>
      <w:r w:rsidRPr="008E0C1D">
        <w:rPr>
          <w:color w:val="000000" w:themeColor="text1"/>
        </w:rPr>
        <w:t xml:space="preserve"> percentiles), with a range of 1.16 °C per decade. The microclimate change rates were therefore 45 % more variable than the macroclimate change rates ((1.68-1.16)/1.16 = 45)). The mean change rates as indicated by the vertical dashed lines are similar for the two distributions (mean ± s.e.m. for microclimate and macroclimate: 0.40 ± 0.04 °C and 0.38 ± 0.03 °C per decade). </w:t>
      </w:r>
    </w:p>
    <w:p w14:paraId="5473DB74" w14:textId="77777777" w:rsidR="004428C2" w:rsidRPr="008E0C1D" w:rsidRDefault="004428C2" w:rsidP="004428C2">
      <w:pPr>
        <w:rPr>
          <w:color w:val="000000" w:themeColor="text1"/>
        </w:rPr>
      </w:pPr>
      <w:r w:rsidRPr="008E0C1D">
        <w:rPr>
          <w:color w:val="000000" w:themeColor="text1"/>
        </w:rPr>
        <w:br w:type="page"/>
      </w:r>
    </w:p>
    <w:p w14:paraId="7BB6DC36" w14:textId="77777777" w:rsidR="004428C2" w:rsidRPr="008E0C1D" w:rsidRDefault="004428C2" w:rsidP="004428C2">
      <w:pPr>
        <w:rPr>
          <w:bCs/>
          <w:color w:val="000000" w:themeColor="text1"/>
        </w:rPr>
      </w:pPr>
      <w:r w:rsidRPr="008E0C1D">
        <w:rPr>
          <w:noProof/>
          <w:color w:val="000000" w:themeColor="text1"/>
        </w:rPr>
        <w:lastRenderedPageBreak/>
        <w:drawing>
          <wp:inline distT="0" distB="0" distL="0" distR="0" wp14:anchorId="5D7A4F99" wp14:editId="384C947F">
            <wp:extent cx="2214880" cy="2214880"/>
            <wp:effectExtent l="0" t="0" r="0" b="0"/>
            <wp:docPr id="9" name="Grafik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5"/>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14880" cy="2214880"/>
                    </a:xfrm>
                    <a:prstGeom prst="rect">
                      <a:avLst/>
                    </a:prstGeom>
                    <a:noFill/>
                    <a:ln>
                      <a:noFill/>
                    </a:ln>
                  </pic:spPr>
                </pic:pic>
              </a:graphicData>
            </a:graphic>
          </wp:inline>
        </w:drawing>
      </w:r>
    </w:p>
    <w:p w14:paraId="312AF31D" w14:textId="77777777" w:rsidR="004428C2" w:rsidRPr="008E0C1D" w:rsidRDefault="004428C2" w:rsidP="004428C2">
      <w:pPr>
        <w:rPr>
          <w:bCs/>
          <w:color w:val="000000" w:themeColor="text1"/>
        </w:rPr>
      </w:pPr>
      <w:r w:rsidRPr="008E0C1D">
        <w:rPr>
          <w:b/>
          <w:color w:val="000000" w:themeColor="text1"/>
        </w:rPr>
        <w:t xml:space="preserve">Fig. S5. The microclimate warmed most in areas with decreasing canopy cover. </w:t>
      </w:r>
      <w:r w:rsidRPr="008E0C1D">
        <w:rPr>
          <w:bCs/>
          <w:color w:val="000000" w:themeColor="text1"/>
        </w:rPr>
        <w:t>Microclimate change was negatively correlated with canopy cover differences (slope: -0.005,</w:t>
      </w:r>
      <w:r w:rsidRPr="008E0C1D">
        <w:rPr>
          <w:color w:val="000000" w:themeColor="text1"/>
        </w:rPr>
        <w:t xml:space="preserve"> R-squared: 0.33, </w:t>
      </w:r>
      <w:r w:rsidRPr="008E0C1D">
        <w:rPr>
          <w:i/>
          <w:color w:val="000000" w:themeColor="text1"/>
        </w:rPr>
        <w:t>P</w:t>
      </w:r>
      <w:r w:rsidRPr="008E0C1D">
        <w:rPr>
          <w:color w:val="000000" w:themeColor="text1"/>
        </w:rPr>
        <w:t xml:space="preserve"> &lt; 0.001). The canopy cover difference was calculated by subtracting the canopy cover observed in the baseline survey from the canopy cover observed in the resurvey. Positive values on the x-axis thus indicate an increase in canopy cover over time, and vice-versa.</w:t>
      </w:r>
    </w:p>
    <w:p w14:paraId="57BD5DCD" w14:textId="77777777" w:rsidR="004428C2" w:rsidRPr="008E0C1D" w:rsidRDefault="004428C2" w:rsidP="004428C2">
      <w:pPr>
        <w:rPr>
          <w:bCs/>
          <w:color w:val="000000" w:themeColor="text1"/>
        </w:rPr>
      </w:pPr>
    </w:p>
    <w:p w14:paraId="16C45924" w14:textId="77777777" w:rsidR="004428C2" w:rsidRPr="008E0C1D" w:rsidRDefault="004428C2" w:rsidP="004428C2">
      <w:pPr>
        <w:rPr>
          <w:bCs/>
          <w:color w:val="000000" w:themeColor="text1"/>
        </w:rPr>
      </w:pPr>
      <w:r w:rsidRPr="008E0C1D">
        <w:rPr>
          <w:bCs/>
          <w:color w:val="000000" w:themeColor="text1"/>
        </w:rPr>
        <w:br w:type="page"/>
      </w:r>
    </w:p>
    <w:p w14:paraId="059C817D" w14:textId="77777777" w:rsidR="004428C2" w:rsidRPr="008E0C1D" w:rsidRDefault="004428C2" w:rsidP="004428C2">
      <w:pPr>
        <w:rPr>
          <w:bCs/>
          <w:color w:val="000000" w:themeColor="text1"/>
        </w:rPr>
      </w:pPr>
    </w:p>
    <w:p w14:paraId="60204FDB" w14:textId="77777777" w:rsidR="004428C2" w:rsidRPr="008E0C1D" w:rsidRDefault="004428C2" w:rsidP="004428C2">
      <w:pPr>
        <w:rPr>
          <w:bCs/>
          <w:color w:val="000000" w:themeColor="text1"/>
        </w:rPr>
      </w:pPr>
    </w:p>
    <w:p w14:paraId="52A46E48" w14:textId="77777777" w:rsidR="004428C2" w:rsidRPr="008E0C1D" w:rsidRDefault="004428C2" w:rsidP="004428C2">
      <w:pPr>
        <w:rPr>
          <w:b/>
          <w:color w:val="000000" w:themeColor="text1"/>
        </w:rPr>
      </w:pPr>
      <w:r w:rsidRPr="008E0C1D">
        <w:rPr>
          <w:b/>
          <w:noProof/>
          <w:color w:val="000000" w:themeColor="text1"/>
        </w:rPr>
        <w:drawing>
          <wp:inline distT="0" distB="0" distL="0" distR="0" wp14:anchorId="6CE9A5E6" wp14:editId="5A8E599F">
            <wp:extent cx="5582920" cy="1391920"/>
            <wp:effectExtent l="0" t="0" r="0" b="0"/>
            <wp:docPr id="10" name="Grafik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8"/>
                    <pic:cNvPicPr>
                      <a:picLocks/>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82920" cy="1391920"/>
                    </a:xfrm>
                    <a:prstGeom prst="rect">
                      <a:avLst/>
                    </a:prstGeom>
                    <a:noFill/>
                    <a:ln>
                      <a:noFill/>
                    </a:ln>
                  </pic:spPr>
                </pic:pic>
              </a:graphicData>
            </a:graphic>
          </wp:inline>
        </w:drawing>
      </w:r>
    </w:p>
    <w:p w14:paraId="0927A550" w14:textId="77777777" w:rsidR="004428C2" w:rsidRPr="008E0C1D" w:rsidRDefault="004428C2" w:rsidP="004428C2">
      <w:pPr>
        <w:rPr>
          <w:noProof/>
          <w:color w:val="000000" w:themeColor="text1"/>
        </w:rPr>
      </w:pPr>
      <w:r w:rsidRPr="008E0C1D">
        <w:rPr>
          <w:b/>
          <w:color w:val="000000" w:themeColor="text1"/>
        </w:rPr>
        <w:t>Fig. S6.</w:t>
      </w:r>
      <w:r w:rsidRPr="008E0C1D">
        <w:rPr>
          <w:color w:val="000000" w:themeColor="text1"/>
        </w:rPr>
        <w:t xml:space="preserve"> </w:t>
      </w:r>
      <w:r w:rsidRPr="008E0C1D">
        <w:rPr>
          <w:b/>
          <w:bCs/>
          <w:color w:val="000000" w:themeColor="text1"/>
        </w:rPr>
        <w:t xml:space="preserve">Species distribution maps are used to infer species thermal response curves and community thermophilisation. </w:t>
      </w:r>
      <w:r w:rsidRPr="008E0C1D">
        <w:rPr>
          <w:bCs/>
          <w:color w:val="000000" w:themeColor="text1"/>
        </w:rPr>
        <w:t>(</w:t>
      </w:r>
      <w:r w:rsidRPr="008E0C1D">
        <w:rPr>
          <w:b/>
          <w:bCs/>
          <w:color w:val="000000" w:themeColor="text1"/>
        </w:rPr>
        <w:t>A</w:t>
      </w:r>
      <w:r w:rsidRPr="008E0C1D">
        <w:rPr>
          <w:bCs/>
          <w:color w:val="000000" w:themeColor="text1"/>
        </w:rPr>
        <w:t>)</w:t>
      </w:r>
      <w:r w:rsidRPr="008E0C1D">
        <w:rPr>
          <w:color w:val="000000" w:themeColor="text1"/>
        </w:rPr>
        <w:t>, The distributions of three exemplary and common species in our dataset is shown. (</w:t>
      </w:r>
      <w:r w:rsidRPr="008E0C1D">
        <w:rPr>
          <w:b/>
          <w:color w:val="000000" w:themeColor="text1"/>
        </w:rPr>
        <w:t>B</w:t>
      </w:r>
      <w:r w:rsidRPr="008E0C1D">
        <w:rPr>
          <w:color w:val="000000" w:themeColor="text1"/>
        </w:rPr>
        <w:t>), The probability of occurrence in response to the mean monthly maximum temperature during the vegetation season (April – September) was estimated for each species, by means of random sampling with replacement of 1000 maximum temperature grid cells within the current distribution range of the species. The resulting thermal response curves thus represent the realised maximum temperature niche and is interpreted as a species thermal affiliation. (</w:t>
      </w:r>
      <w:r w:rsidRPr="008E0C1D">
        <w:rPr>
          <w:b/>
          <w:color w:val="000000" w:themeColor="text1"/>
        </w:rPr>
        <w:t>C</w:t>
      </w:r>
      <w:r w:rsidRPr="008E0C1D">
        <w:rPr>
          <w:color w:val="000000" w:themeColor="text1"/>
        </w:rPr>
        <w:t>)</w:t>
      </w:r>
      <w:r w:rsidRPr="008E0C1D">
        <w:rPr>
          <w:b/>
          <w:bCs/>
          <w:color w:val="000000" w:themeColor="text1"/>
        </w:rPr>
        <w:t>,</w:t>
      </w:r>
      <w:r w:rsidRPr="008E0C1D">
        <w:rPr>
          <w:color w:val="000000" w:themeColor="text1"/>
        </w:rPr>
        <w:t xml:space="preserve"> The thermal response curves from all species present in a survey were used to calculate a community-based floristic temperature, which was calculated for each the baseline survey and re-survey (light grey and dark grey curves, respectively). Thermophilisation is indicated by the green arrows, which represent the temporal shift of the mean, left tail (5</w:t>
      </w:r>
      <w:r w:rsidRPr="008E0C1D">
        <w:rPr>
          <w:color w:val="000000" w:themeColor="text1"/>
          <w:vertAlign w:val="superscript"/>
        </w:rPr>
        <w:t>th</w:t>
      </w:r>
      <w:r w:rsidRPr="008E0C1D">
        <w:rPr>
          <w:color w:val="000000" w:themeColor="text1"/>
        </w:rPr>
        <w:t xml:space="preserve"> percentile) and right tail (95</w:t>
      </w:r>
      <w:r w:rsidRPr="008E0C1D">
        <w:rPr>
          <w:color w:val="000000" w:themeColor="text1"/>
          <w:vertAlign w:val="superscript"/>
        </w:rPr>
        <w:t>th</w:t>
      </w:r>
      <w:r w:rsidRPr="008E0C1D">
        <w:rPr>
          <w:color w:val="000000" w:themeColor="text1"/>
        </w:rPr>
        <w:t xml:space="preserve"> percentile) of the distribution of floristic temperatures and reflect the degree to which the mean thermophilization increases, cold-affinity species decrease, and warm-affinity species increase, respectively.</w:t>
      </w:r>
      <w:r w:rsidRPr="008E0C1D">
        <w:rPr>
          <w:noProof/>
          <w:color w:val="000000" w:themeColor="text1"/>
        </w:rPr>
        <w:br w:type="page"/>
      </w:r>
    </w:p>
    <w:p w14:paraId="50FDA9C8" w14:textId="77777777" w:rsidR="004428C2" w:rsidRPr="008E0C1D" w:rsidRDefault="004428C2" w:rsidP="004428C2">
      <w:pPr>
        <w:rPr>
          <w:b/>
          <w:color w:val="000000" w:themeColor="text1"/>
        </w:rPr>
      </w:pPr>
      <w:r w:rsidRPr="008E0C1D">
        <w:rPr>
          <w:b/>
          <w:color w:val="000000" w:themeColor="text1"/>
        </w:rPr>
        <w:lastRenderedPageBreak/>
        <w:t xml:space="preserve"> </w:t>
      </w:r>
      <w:r w:rsidRPr="008E0C1D">
        <w:rPr>
          <w:b/>
          <w:noProof/>
          <w:color w:val="000000" w:themeColor="text1"/>
        </w:rPr>
        <w:drawing>
          <wp:inline distT="0" distB="0" distL="0" distR="0" wp14:anchorId="22110659" wp14:editId="022D5928">
            <wp:extent cx="5019040" cy="1930400"/>
            <wp:effectExtent l="0" t="0" r="0" b="0"/>
            <wp:docPr id="11" name="Grafik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2"/>
                    <pic:cNvPicPr>
                      <a:picLocks/>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19040" cy="1930400"/>
                    </a:xfrm>
                    <a:prstGeom prst="rect">
                      <a:avLst/>
                    </a:prstGeom>
                    <a:noFill/>
                    <a:ln>
                      <a:noFill/>
                    </a:ln>
                  </pic:spPr>
                </pic:pic>
              </a:graphicData>
            </a:graphic>
          </wp:inline>
        </w:drawing>
      </w:r>
    </w:p>
    <w:p w14:paraId="2E672E95" w14:textId="77777777" w:rsidR="004428C2" w:rsidRPr="008E0C1D" w:rsidRDefault="004428C2" w:rsidP="004428C2">
      <w:pPr>
        <w:rPr>
          <w:noProof/>
          <w:color w:val="000000" w:themeColor="text1"/>
        </w:rPr>
      </w:pPr>
      <w:r w:rsidRPr="008E0C1D">
        <w:rPr>
          <w:b/>
          <w:color w:val="000000" w:themeColor="text1"/>
        </w:rPr>
        <w:t>Fig. S7.</w:t>
      </w:r>
      <w:r w:rsidRPr="008E0C1D">
        <w:rPr>
          <w:color w:val="000000" w:themeColor="text1"/>
        </w:rPr>
        <w:t xml:space="preserve"> </w:t>
      </w:r>
      <w:r w:rsidRPr="008E0C1D">
        <w:rPr>
          <w:b/>
          <w:bCs/>
          <w:color w:val="000000" w:themeColor="text1"/>
        </w:rPr>
        <w:t>The mean micro- and macroclimatic temperature debts are similar, but climatic debts calculated using macroclimate data underrepresent the variability in microclimatic debt.</w:t>
      </w:r>
      <w:r w:rsidRPr="008E0C1D">
        <w:rPr>
          <w:color w:val="000000" w:themeColor="text1"/>
        </w:rPr>
        <w:t xml:space="preserve"> (</w:t>
      </w:r>
      <w:r w:rsidRPr="008E0C1D">
        <w:rPr>
          <w:b/>
          <w:color w:val="000000" w:themeColor="text1"/>
        </w:rPr>
        <w:t>A</w:t>
      </w:r>
      <w:r w:rsidRPr="008E0C1D">
        <w:rPr>
          <w:color w:val="000000" w:themeColor="text1"/>
        </w:rPr>
        <w:t>), Histograms of microclimatic and macroclimatic debts, calculated by subtracting the thermophilisation rate from the respective micro- and macroclimate temperature change rate. The resulting microclimatic debt ranged from -0.86 to 2.03 (mean: 0.38 +/- 0.04 (SEM)) °C per decade; the range for macroclimatic debt was -0.67 to 1.72 (mean: 0.37 +/- 0.04 (SEM)) °C per decade. The two dashed vertical lines represent the means of the distributions. (</w:t>
      </w:r>
      <w:r w:rsidRPr="008E0C1D">
        <w:rPr>
          <w:b/>
          <w:bCs/>
          <w:color w:val="000000" w:themeColor="text1"/>
        </w:rPr>
        <w:t>B</w:t>
      </w:r>
      <w:r w:rsidRPr="008E0C1D">
        <w:rPr>
          <w:bCs/>
          <w:color w:val="000000" w:themeColor="text1"/>
        </w:rPr>
        <w:t>)</w:t>
      </w:r>
      <w:r w:rsidRPr="008E0C1D">
        <w:rPr>
          <w:color w:val="000000" w:themeColor="text1"/>
        </w:rPr>
        <w:t xml:space="preserve">, Scatterplot between microclimatic and macroclimatic debt; macroclimatic debt explained only 56 % of the variation in microclimate debt (slope = 0.92, marginal (conditional) R-squared = 0.56 (0.72), P &lt; 0.001). </w:t>
      </w:r>
    </w:p>
    <w:p w14:paraId="4772C433" w14:textId="77777777" w:rsidR="004428C2" w:rsidRPr="008E0C1D" w:rsidRDefault="004428C2" w:rsidP="004428C2">
      <w:pPr>
        <w:rPr>
          <w:color w:val="000000" w:themeColor="text1"/>
        </w:rPr>
      </w:pPr>
      <w:r w:rsidRPr="008E0C1D">
        <w:rPr>
          <w:color w:val="000000" w:themeColor="text1"/>
        </w:rPr>
        <w:br w:type="page"/>
      </w:r>
    </w:p>
    <w:p w14:paraId="18DDA99A" w14:textId="77777777" w:rsidR="004428C2" w:rsidRPr="008E0C1D" w:rsidRDefault="004428C2" w:rsidP="004428C2">
      <w:pPr>
        <w:rPr>
          <w:color w:val="000000" w:themeColor="text1"/>
        </w:rPr>
      </w:pPr>
      <w:r w:rsidRPr="008E0C1D">
        <w:rPr>
          <w:noProof/>
          <w:color w:val="000000" w:themeColor="text1"/>
        </w:rPr>
        <w:lastRenderedPageBreak/>
        <w:drawing>
          <wp:inline distT="0" distB="0" distL="0" distR="0" wp14:anchorId="20C1F853" wp14:editId="4C6042C0">
            <wp:extent cx="5943600" cy="1473200"/>
            <wp:effectExtent l="0" t="0" r="0" b="0"/>
            <wp:docPr id="12" name="Grafik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3"/>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1473200"/>
                    </a:xfrm>
                    <a:prstGeom prst="rect">
                      <a:avLst/>
                    </a:prstGeom>
                    <a:noFill/>
                    <a:ln>
                      <a:noFill/>
                    </a:ln>
                  </pic:spPr>
                </pic:pic>
              </a:graphicData>
            </a:graphic>
          </wp:inline>
        </w:drawing>
      </w:r>
    </w:p>
    <w:p w14:paraId="0AC040F4" w14:textId="77777777" w:rsidR="004428C2" w:rsidRPr="008E0C1D" w:rsidRDefault="004428C2" w:rsidP="004428C2">
      <w:pPr>
        <w:rPr>
          <w:color w:val="000000" w:themeColor="text1"/>
        </w:rPr>
      </w:pPr>
      <w:r w:rsidRPr="008E0C1D">
        <w:rPr>
          <w:b/>
          <w:color w:val="000000" w:themeColor="text1"/>
        </w:rPr>
        <w:t>Fig. S8</w:t>
      </w:r>
      <w:r w:rsidRPr="008E0C1D">
        <w:rPr>
          <w:b/>
          <w:bCs/>
          <w:color w:val="000000" w:themeColor="text1"/>
        </w:rPr>
        <w:t>.</w:t>
      </w:r>
      <w:r w:rsidRPr="008E0C1D">
        <w:rPr>
          <w:color w:val="000000" w:themeColor="text1"/>
        </w:rPr>
        <w:t xml:space="preserve"> </w:t>
      </w:r>
      <w:r w:rsidRPr="008E0C1D">
        <w:rPr>
          <w:b/>
          <w:bCs/>
          <w:color w:val="000000" w:themeColor="text1"/>
        </w:rPr>
        <w:t>Results derived from shifts of the median of the community-level floristic temperature distributions</w:t>
      </w:r>
      <w:r w:rsidRPr="008E0C1D">
        <w:rPr>
          <w:color w:val="000000" w:themeColor="text1"/>
        </w:rPr>
        <w:t>. (</w:t>
      </w:r>
      <w:r w:rsidRPr="008E0C1D">
        <w:rPr>
          <w:b/>
          <w:color w:val="000000" w:themeColor="text1"/>
        </w:rPr>
        <w:t>A</w:t>
      </w:r>
      <w:r w:rsidRPr="008E0C1D">
        <w:rPr>
          <w:color w:val="000000" w:themeColor="text1"/>
        </w:rPr>
        <w:t>), The results are presented analogous to Fig. 2 in the main text, but representing thermophilisation rates calculated using the shifts in the 50</w:t>
      </w:r>
      <w:r w:rsidRPr="008E0C1D">
        <w:rPr>
          <w:color w:val="000000" w:themeColor="text1"/>
          <w:vertAlign w:val="superscript"/>
        </w:rPr>
        <w:t>th</w:t>
      </w:r>
      <w:r w:rsidRPr="008E0C1D">
        <w:rPr>
          <w:color w:val="000000" w:themeColor="text1"/>
        </w:rPr>
        <w:t xml:space="preserve"> percentile of the community-level floristic temperature distributions rather than the shifts in the 95</w:t>
      </w:r>
      <w:r w:rsidRPr="008E0C1D">
        <w:rPr>
          <w:color w:val="000000" w:themeColor="text1"/>
          <w:vertAlign w:val="superscript"/>
        </w:rPr>
        <w:t>th</w:t>
      </w:r>
      <w:r w:rsidRPr="008E0C1D">
        <w:rPr>
          <w:color w:val="000000" w:themeColor="text1"/>
        </w:rPr>
        <w:t xml:space="preserve"> percentile as used in the main text (see Methods). Thermophilisation rates increase with increasing microclimate warming, as shown by the regression slopes and 95</w:t>
      </w:r>
      <w:r w:rsidRPr="008E0C1D">
        <w:rPr>
          <w:color w:val="000000" w:themeColor="text1"/>
          <w:vertAlign w:val="superscript"/>
        </w:rPr>
        <w:t xml:space="preserve"> </w:t>
      </w:r>
      <w:r w:rsidRPr="008E0C1D">
        <w:rPr>
          <w:color w:val="000000" w:themeColor="text1"/>
        </w:rPr>
        <w:t xml:space="preserve">% confidence intervals (CI) (scaled slope estimate: 0.006, CI: 0 – 0.011, </w:t>
      </w:r>
      <w:r w:rsidRPr="008E0C1D">
        <w:rPr>
          <w:i/>
          <w:iCs/>
          <w:color w:val="000000" w:themeColor="text1"/>
        </w:rPr>
        <w:t>P</w:t>
      </w:r>
      <w:r w:rsidRPr="008E0C1D">
        <w:rPr>
          <w:color w:val="000000" w:themeColor="text1"/>
        </w:rPr>
        <w:t xml:space="preserve"> = 0.036). The macroclimate model, however, was not statistically significant, with a scaled slope estimate of -0.001 (CI: -0.008 – 0.007, </w:t>
      </w:r>
      <w:r w:rsidRPr="008E0C1D">
        <w:rPr>
          <w:i/>
          <w:iCs/>
          <w:color w:val="000000" w:themeColor="text1"/>
        </w:rPr>
        <w:t>P</w:t>
      </w:r>
      <w:r w:rsidRPr="008E0C1D">
        <w:rPr>
          <w:color w:val="000000" w:themeColor="text1"/>
        </w:rPr>
        <w:t xml:space="preserve"> = 0.850). (</w:t>
      </w:r>
      <w:r w:rsidRPr="008E0C1D">
        <w:rPr>
          <w:b/>
          <w:color w:val="000000" w:themeColor="text1"/>
        </w:rPr>
        <w:t>B</w:t>
      </w:r>
      <w:r w:rsidRPr="008E0C1D">
        <w:rPr>
          <w:color w:val="000000" w:themeColor="text1"/>
        </w:rPr>
        <w:t>), Climatic debt effects based on thermophilisation rates representing shifts in the 50</w:t>
      </w:r>
      <w:r w:rsidRPr="008E0C1D">
        <w:rPr>
          <w:color w:val="000000" w:themeColor="text1"/>
          <w:vertAlign w:val="superscript"/>
        </w:rPr>
        <w:t>th</w:t>
      </w:r>
      <w:r w:rsidRPr="008E0C1D">
        <w:rPr>
          <w:color w:val="000000" w:themeColor="text1"/>
        </w:rPr>
        <w:t xml:space="preserve"> percentiles of the community-level floristic temperature distributions (see Methods), analogous to Fig. 3 in the main text. The climatic debt based on microclimate data (i.e, microclimatic debt) is negatively related to the difference in maximum temperature (Tmax) buffering brought about by canopy cover dynamics (slope: -2.393, marginal (conditional) R-squared: 0.581 (0.869), </w:t>
      </w:r>
      <w:r w:rsidRPr="008E0C1D">
        <w:rPr>
          <w:i/>
          <w:iCs/>
          <w:color w:val="000000" w:themeColor="text1"/>
        </w:rPr>
        <w:t xml:space="preserve">P </w:t>
      </w:r>
      <w:r w:rsidRPr="008E0C1D">
        <w:rPr>
          <w:color w:val="000000" w:themeColor="text1"/>
        </w:rPr>
        <w:t>&lt; 0.001). Negative values on the x-axis represent a warming effect (reduced canopy cover and thus less Tmax buffering), positive values represent a cooling effect (increased canopy cover and thus more Tmax buffering). (</w:t>
      </w:r>
      <w:r w:rsidRPr="008E0C1D">
        <w:rPr>
          <w:b/>
          <w:color w:val="000000" w:themeColor="text1"/>
        </w:rPr>
        <w:t>C</w:t>
      </w:r>
      <w:r w:rsidRPr="008E0C1D">
        <w:rPr>
          <w:color w:val="000000" w:themeColor="text1"/>
        </w:rPr>
        <w:t>)</w:t>
      </w:r>
      <w:r w:rsidRPr="008E0C1D">
        <w:rPr>
          <w:b/>
          <w:bCs/>
          <w:color w:val="000000" w:themeColor="text1"/>
        </w:rPr>
        <w:t>,</w:t>
      </w:r>
      <w:r w:rsidRPr="008E0C1D">
        <w:rPr>
          <w:color w:val="000000" w:themeColor="text1"/>
        </w:rPr>
        <w:t xml:space="preserve"> Climatic debt calculated using macroclimate data (i.e., macroclimatic debt) are not significantly related to differences in temperature buffering (slope: -0.065, marginal (conditional) R-squared: 0 (0.242), </w:t>
      </w:r>
      <w:r w:rsidRPr="008E0C1D">
        <w:rPr>
          <w:i/>
          <w:iCs/>
          <w:color w:val="000000" w:themeColor="text1"/>
        </w:rPr>
        <w:t>P</w:t>
      </w:r>
      <w:r w:rsidRPr="008E0C1D">
        <w:rPr>
          <w:color w:val="000000" w:themeColor="text1"/>
        </w:rPr>
        <w:t xml:space="preserve"> = 0.489). Thus, using the thermophilisation rates based on shifts in the 50</w:t>
      </w:r>
      <w:r w:rsidRPr="008E0C1D">
        <w:rPr>
          <w:color w:val="000000" w:themeColor="text1"/>
          <w:vertAlign w:val="superscript"/>
        </w:rPr>
        <w:t>th</w:t>
      </w:r>
      <w:r w:rsidRPr="008E0C1D">
        <w:rPr>
          <w:color w:val="000000" w:themeColor="text1"/>
        </w:rPr>
        <w:t xml:space="preserve"> percentiles of the floristic temperature distributions reveal the same conclusion as reported in the main text: The climatic debt in forest plant communities depend on microclimate dynamics mediated by canopy dynamics.</w:t>
      </w:r>
    </w:p>
    <w:p w14:paraId="0C889979" w14:textId="77777777" w:rsidR="004428C2" w:rsidRPr="008E0C1D" w:rsidRDefault="004428C2" w:rsidP="004428C2">
      <w:pPr>
        <w:rPr>
          <w:color w:val="000000" w:themeColor="text1"/>
        </w:rPr>
      </w:pPr>
      <w:r w:rsidRPr="008E0C1D">
        <w:rPr>
          <w:color w:val="000000" w:themeColor="text1"/>
        </w:rPr>
        <w:br w:type="page"/>
      </w:r>
    </w:p>
    <w:p w14:paraId="6F747FB6" w14:textId="77777777" w:rsidR="004428C2" w:rsidRPr="008E0C1D" w:rsidRDefault="004428C2" w:rsidP="004428C2">
      <w:pPr>
        <w:rPr>
          <w:color w:val="000000" w:themeColor="text1"/>
        </w:rPr>
      </w:pPr>
      <w:r w:rsidRPr="008E0C1D">
        <w:rPr>
          <w:noProof/>
          <w:color w:val="000000" w:themeColor="text1"/>
        </w:rPr>
        <w:lastRenderedPageBreak/>
        <w:drawing>
          <wp:inline distT="0" distB="0" distL="0" distR="0" wp14:anchorId="23ED8BE1" wp14:editId="6B1BFF31">
            <wp:extent cx="5948680" cy="1468120"/>
            <wp:effectExtent l="0" t="0" r="0" b="0"/>
            <wp:docPr id="13" name="Grafik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4"/>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8680" cy="1468120"/>
                    </a:xfrm>
                    <a:prstGeom prst="rect">
                      <a:avLst/>
                    </a:prstGeom>
                    <a:noFill/>
                    <a:ln>
                      <a:noFill/>
                    </a:ln>
                  </pic:spPr>
                </pic:pic>
              </a:graphicData>
            </a:graphic>
          </wp:inline>
        </w:drawing>
      </w:r>
    </w:p>
    <w:p w14:paraId="63545144" w14:textId="77777777" w:rsidR="004428C2" w:rsidRPr="008E0C1D" w:rsidRDefault="004428C2" w:rsidP="004428C2">
      <w:pPr>
        <w:rPr>
          <w:color w:val="000000" w:themeColor="text1"/>
        </w:rPr>
      </w:pPr>
      <w:r w:rsidRPr="008E0C1D">
        <w:rPr>
          <w:b/>
          <w:color w:val="000000" w:themeColor="text1"/>
        </w:rPr>
        <w:t xml:space="preserve">Fig. S9. Rare species did not affect our main results and conclusions. </w:t>
      </w:r>
      <w:r w:rsidRPr="008E0C1D">
        <w:rPr>
          <w:color w:val="000000" w:themeColor="text1"/>
        </w:rPr>
        <w:t>(</w:t>
      </w:r>
      <w:r w:rsidRPr="008E0C1D">
        <w:rPr>
          <w:b/>
          <w:color w:val="000000" w:themeColor="text1"/>
        </w:rPr>
        <w:t>A</w:t>
      </w:r>
      <w:r w:rsidRPr="008E0C1D">
        <w:rPr>
          <w:color w:val="000000" w:themeColor="text1"/>
        </w:rPr>
        <w:t>)</w:t>
      </w:r>
      <w:r w:rsidRPr="008E0C1D">
        <w:rPr>
          <w:b/>
          <w:color w:val="000000" w:themeColor="text1"/>
        </w:rPr>
        <w:t xml:space="preserve">, </w:t>
      </w:r>
      <w:r w:rsidRPr="008E0C1D">
        <w:rPr>
          <w:bCs/>
          <w:color w:val="000000" w:themeColor="text1"/>
        </w:rPr>
        <w:t>Relationships between</w:t>
      </w:r>
      <w:r w:rsidRPr="008E0C1D">
        <w:rPr>
          <w:color w:val="000000" w:themeColor="text1"/>
        </w:rPr>
        <w:t xml:space="preserve"> thermophilisation rates and micro-, as well as macroclimate change, based on the dataset excluding rare species with a cover abundance of less than 1 % at the plot level, as shown by the regression slopes and 95</w:t>
      </w:r>
      <w:r w:rsidRPr="008E0C1D">
        <w:rPr>
          <w:color w:val="000000" w:themeColor="text1"/>
          <w:vertAlign w:val="superscript"/>
        </w:rPr>
        <w:t xml:space="preserve"> </w:t>
      </w:r>
      <w:r w:rsidRPr="008E0C1D">
        <w:rPr>
          <w:color w:val="000000" w:themeColor="text1"/>
        </w:rPr>
        <w:t>% confidence intervals (CI). The thermophilisation rate was primarily linked to the rate of microclimate warming, and not to the rate of macroclimate warming: the effect of microclimate change on thermophilisation was stronger (scaled slope estimate: 0.036, CI: 0.025 – 0.048, P &lt; 0.001) than the effect of macroclimate change (scaled slope estimate: 0.017, CI: -0.002 – 0.037, P = 0.076). (</w:t>
      </w:r>
      <w:r w:rsidRPr="008E0C1D">
        <w:rPr>
          <w:b/>
          <w:color w:val="000000" w:themeColor="text1"/>
        </w:rPr>
        <w:t>B</w:t>
      </w:r>
      <w:r w:rsidRPr="008E0C1D">
        <w:rPr>
          <w:bCs/>
          <w:color w:val="000000" w:themeColor="text1"/>
        </w:rPr>
        <w:t>)</w:t>
      </w:r>
      <w:r w:rsidRPr="008E0C1D">
        <w:rPr>
          <w:color w:val="000000" w:themeColor="text1"/>
        </w:rPr>
        <w:t xml:space="preserve">, The climatic debt based on microclimate data (i.e., microclimatic debt) is negatively related to the difference in maximum temperature (Tmax) buffering brought about by canopy cover dynamics (slope: -1.358, marginal (conditional) R-squared = 0.379 (0.586), </w:t>
      </w:r>
      <w:r w:rsidRPr="008E0C1D">
        <w:rPr>
          <w:i/>
          <w:color w:val="000000" w:themeColor="text1"/>
        </w:rPr>
        <w:t>P</w:t>
      </w:r>
      <w:r w:rsidRPr="008E0C1D">
        <w:rPr>
          <w:color w:val="000000" w:themeColor="text1"/>
        </w:rPr>
        <w:t xml:space="preserve"> &lt; 0.001). Negative values on the x-axis represent a warming effect (reduced canopy cover and thus less Tmax buffering), positive values represent a cooling effect (increased canopy cover and thus more Tmax buffering). (</w:t>
      </w:r>
      <w:r w:rsidRPr="008E0C1D">
        <w:rPr>
          <w:b/>
          <w:color w:val="000000" w:themeColor="text1"/>
        </w:rPr>
        <w:t>C</w:t>
      </w:r>
      <w:r w:rsidRPr="008E0C1D">
        <w:rPr>
          <w:color w:val="000000" w:themeColor="text1"/>
        </w:rPr>
        <w:t>)</w:t>
      </w:r>
      <w:r w:rsidRPr="008E0C1D">
        <w:rPr>
          <w:b/>
          <w:bCs/>
          <w:color w:val="000000" w:themeColor="text1"/>
        </w:rPr>
        <w:t xml:space="preserve">, </w:t>
      </w:r>
      <w:r w:rsidRPr="008E0C1D">
        <w:rPr>
          <w:color w:val="000000" w:themeColor="text1"/>
        </w:rPr>
        <w:t xml:space="preserve">The climatic debt calculated using macroclimate data (i.e., macroclimatic debt) was only weakly related to differences in temperature buffering (slope = 0.197, marginal (conditional) R-squared = 0.007 (0.256), </w:t>
      </w:r>
      <w:r w:rsidRPr="008E0C1D">
        <w:rPr>
          <w:i/>
          <w:color w:val="000000" w:themeColor="text1"/>
        </w:rPr>
        <w:t>P</w:t>
      </w:r>
      <w:r w:rsidRPr="008E0C1D">
        <w:rPr>
          <w:color w:val="000000" w:themeColor="text1"/>
        </w:rPr>
        <w:t xml:space="preserve"> &lt; 0.001). The linear regression lines are plotted including the 95 % confidence intervals (grey bands). Rare species did thus not affect our conclusions reported in the main text: The climatic debt in forest plant communities depend on microclimate dynamics mediated by canopy dynamics. Note that the sample size for the analysis and results presented here was n = 2846. The reason for the reduced sample size is that in 109 surveys out of all baseline surveys or resurveys, no vascular plant species in the herb-layer occurred with a cover of 1 % or more. This prevented the calculation of a floristic temperature and resulted in the exclusion of 109 plots (3.7%) from the 2955 plots.</w:t>
      </w:r>
    </w:p>
    <w:p w14:paraId="34BE8A20" w14:textId="77777777" w:rsidR="004428C2" w:rsidRPr="008E0C1D" w:rsidRDefault="004428C2" w:rsidP="004428C2">
      <w:pPr>
        <w:rPr>
          <w:color w:val="000000" w:themeColor="text1"/>
        </w:rPr>
      </w:pPr>
    </w:p>
    <w:p w14:paraId="0CC5C119" w14:textId="77777777" w:rsidR="004428C2" w:rsidRPr="008E0C1D" w:rsidRDefault="004428C2" w:rsidP="004428C2">
      <w:pPr>
        <w:rPr>
          <w:color w:val="000000" w:themeColor="text1"/>
        </w:rPr>
      </w:pPr>
      <w:r w:rsidRPr="008E0C1D">
        <w:rPr>
          <w:color w:val="000000" w:themeColor="text1"/>
        </w:rPr>
        <w:br w:type="page"/>
      </w:r>
    </w:p>
    <w:p w14:paraId="198D9CE6" w14:textId="77777777" w:rsidR="004428C2" w:rsidRPr="008E0C1D" w:rsidRDefault="004428C2" w:rsidP="004428C2">
      <w:pPr>
        <w:rPr>
          <w:color w:val="000000" w:themeColor="text1"/>
        </w:rPr>
      </w:pPr>
      <w:r w:rsidRPr="008E0C1D">
        <w:rPr>
          <w:noProof/>
          <w:color w:val="000000" w:themeColor="text1"/>
        </w:rPr>
        <w:lastRenderedPageBreak/>
        <w:drawing>
          <wp:inline distT="0" distB="0" distL="0" distR="0" wp14:anchorId="2C19ED71" wp14:editId="79B6DE97">
            <wp:extent cx="2189480" cy="2407920"/>
            <wp:effectExtent l="0" t="0" r="0" b="0"/>
            <wp:docPr id="14" name="Grafik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1"/>
                    <pic:cNvPicPr>
                      <a:picLocks/>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89480" cy="2407920"/>
                    </a:xfrm>
                    <a:prstGeom prst="rect">
                      <a:avLst/>
                    </a:prstGeom>
                    <a:noFill/>
                    <a:ln>
                      <a:noFill/>
                    </a:ln>
                  </pic:spPr>
                </pic:pic>
              </a:graphicData>
            </a:graphic>
          </wp:inline>
        </w:drawing>
      </w:r>
    </w:p>
    <w:p w14:paraId="68C8DB99" w14:textId="77777777" w:rsidR="004428C2" w:rsidRPr="008E0C1D" w:rsidRDefault="004428C2" w:rsidP="004428C2">
      <w:pPr>
        <w:rPr>
          <w:color w:val="000000" w:themeColor="text1"/>
        </w:rPr>
      </w:pPr>
      <w:r w:rsidRPr="008E0C1D">
        <w:rPr>
          <w:b/>
          <w:color w:val="000000" w:themeColor="text1"/>
        </w:rPr>
        <w:t>Fig. S10. Thermophilisation tends to be higher in forests where light availability has increased following canopy opening (slope: -0.01, P = 0.051</w:t>
      </w:r>
      <w:r w:rsidRPr="008E0C1D">
        <w:rPr>
          <w:color w:val="000000" w:themeColor="text1"/>
        </w:rPr>
        <w:t>). Please refer to the Sensitivity analyses section above for more details.</w:t>
      </w:r>
    </w:p>
    <w:p w14:paraId="7C9D77B0" w14:textId="77777777" w:rsidR="004428C2" w:rsidRPr="008E0C1D" w:rsidRDefault="004428C2" w:rsidP="004428C2">
      <w:pPr>
        <w:rPr>
          <w:color w:val="000000" w:themeColor="text1"/>
        </w:rPr>
      </w:pPr>
    </w:p>
    <w:p w14:paraId="4005857C" w14:textId="77777777" w:rsidR="004428C2" w:rsidRPr="008E0C1D" w:rsidRDefault="004428C2" w:rsidP="004428C2">
      <w:pPr>
        <w:rPr>
          <w:color w:val="000000" w:themeColor="text1"/>
        </w:rPr>
      </w:pPr>
      <w:r w:rsidRPr="008E0C1D">
        <w:rPr>
          <w:color w:val="000000" w:themeColor="text1"/>
        </w:rPr>
        <w:br w:type="page"/>
      </w:r>
    </w:p>
    <w:p w14:paraId="2EDECB47" w14:textId="77777777" w:rsidR="004428C2" w:rsidRPr="008E0C1D" w:rsidRDefault="004428C2" w:rsidP="004428C2">
      <w:pPr>
        <w:pStyle w:val="SMHeading"/>
        <w:rPr>
          <w:rFonts w:ascii="Times" w:hAnsi="Times"/>
          <w:color w:val="000000" w:themeColor="text1"/>
        </w:rPr>
      </w:pPr>
      <w:r w:rsidRPr="008E0C1D">
        <w:rPr>
          <w:rFonts w:ascii="Times" w:hAnsi="Times"/>
          <w:color w:val="000000" w:themeColor="text1"/>
        </w:rPr>
        <w:lastRenderedPageBreak/>
        <w:t>References and Notes:</w:t>
      </w:r>
    </w:p>
    <w:p w14:paraId="3429257B"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 </w:t>
      </w:r>
      <w:r w:rsidRPr="008E0C1D">
        <w:rPr>
          <w:noProof/>
          <w:color w:val="000000" w:themeColor="text1"/>
          <w:szCs w:val="24"/>
        </w:rPr>
        <w:tab/>
        <w:t xml:space="preserve">G. T. Pecl </w:t>
      </w:r>
      <w:r w:rsidRPr="008E0C1D">
        <w:rPr>
          <w:i/>
          <w:noProof/>
          <w:color w:val="000000" w:themeColor="text1"/>
          <w:szCs w:val="24"/>
        </w:rPr>
        <w:t>et al</w:t>
      </w:r>
      <w:r w:rsidRPr="008E0C1D">
        <w:rPr>
          <w:noProof/>
          <w:color w:val="000000" w:themeColor="text1"/>
          <w:szCs w:val="24"/>
        </w:rPr>
        <w:t xml:space="preserve">., Biodiversity redistribution under climate change: Impacts on ecosystems and human well-being. </w:t>
      </w:r>
      <w:r w:rsidRPr="008E0C1D">
        <w:rPr>
          <w:i/>
          <w:iCs/>
          <w:noProof/>
          <w:color w:val="000000" w:themeColor="text1"/>
          <w:szCs w:val="24"/>
        </w:rPr>
        <w:t>Science.</w:t>
      </w:r>
      <w:r w:rsidRPr="008E0C1D">
        <w:rPr>
          <w:noProof/>
          <w:color w:val="000000" w:themeColor="text1"/>
          <w:szCs w:val="24"/>
        </w:rPr>
        <w:t xml:space="preserve"> </w:t>
      </w:r>
      <w:r w:rsidRPr="008E0C1D">
        <w:rPr>
          <w:b/>
          <w:bCs/>
          <w:noProof/>
          <w:color w:val="000000" w:themeColor="text1"/>
          <w:szCs w:val="24"/>
        </w:rPr>
        <w:t>355</w:t>
      </w:r>
      <w:r w:rsidRPr="008E0C1D">
        <w:rPr>
          <w:noProof/>
          <w:color w:val="000000" w:themeColor="text1"/>
          <w:szCs w:val="24"/>
        </w:rPr>
        <w:t xml:space="preserve"> (2017).</w:t>
      </w:r>
    </w:p>
    <w:p w14:paraId="298FAC7D"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 </w:t>
      </w:r>
      <w:r w:rsidRPr="008E0C1D">
        <w:rPr>
          <w:noProof/>
          <w:color w:val="000000" w:themeColor="text1"/>
          <w:szCs w:val="24"/>
        </w:rPr>
        <w:tab/>
        <w:t xml:space="preserve">B. R. Scheffers </w:t>
      </w:r>
      <w:r w:rsidRPr="008E0C1D">
        <w:rPr>
          <w:i/>
          <w:noProof/>
          <w:color w:val="000000" w:themeColor="text1"/>
          <w:szCs w:val="24"/>
        </w:rPr>
        <w:t>et al</w:t>
      </w:r>
      <w:r w:rsidRPr="008E0C1D">
        <w:rPr>
          <w:noProof/>
          <w:color w:val="000000" w:themeColor="text1"/>
          <w:szCs w:val="24"/>
        </w:rPr>
        <w:t xml:space="preserve">., The broad footprint of climate change from genes to biomes to people. </w:t>
      </w:r>
      <w:r w:rsidRPr="008E0C1D">
        <w:rPr>
          <w:i/>
          <w:iCs/>
          <w:noProof/>
          <w:color w:val="000000" w:themeColor="text1"/>
          <w:szCs w:val="24"/>
        </w:rPr>
        <w:t>Science.</w:t>
      </w:r>
      <w:r w:rsidRPr="008E0C1D">
        <w:rPr>
          <w:noProof/>
          <w:color w:val="000000" w:themeColor="text1"/>
          <w:szCs w:val="24"/>
        </w:rPr>
        <w:t xml:space="preserve"> </w:t>
      </w:r>
      <w:r w:rsidRPr="008E0C1D">
        <w:rPr>
          <w:b/>
          <w:bCs/>
          <w:noProof/>
          <w:color w:val="000000" w:themeColor="text1"/>
          <w:szCs w:val="24"/>
        </w:rPr>
        <w:t>354</w:t>
      </w:r>
      <w:r w:rsidRPr="008E0C1D">
        <w:rPr>
          <w:noProof/>
          <w:color w:val="000000" w:themeColor="text1"/>
          <w:szCs w:val="24"/>
        </w:rPr>
        <w:t xml:space="preserve"> (2016).</w:t>
      </w:r>
    </w:p>
    <w:p w14:paraId="07D8F1DC"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 </w:t>
      </w:r>
      <w:r w:rsidRPr="008E0C1D">
        <w:rPr>
          <w:noProof/>
          <w:color w:val="000000" w:themeColor="text1"/>
          <w:szCs w:val="24"/>
        </w:rPr>
        <w:tab/>
        <w:t xml:space="preserve">C. Parmesan, Ecological and evolutionary responses to recent climate change. </w:t>
      </w:r>
      <w:r w:rsidRPr="008E0C1D">
        <w:rPr>
          <w:i/>
          <w:iCs/>
          <w:noProof/>
          <w:color w:val="000000" w:themeColor="text1"/>
          <w:szCs w:val="24"/>
        </w:rPr>
        <w:t>Annu. Rev. Ecol. Evol. Syst.</w:t>
      </w:r>
      <w:r w:rsidRPr="008E0C1D">
        <w:rPr>
          <w:noProof/>
          <w:color w:val="000000" w:themeColor="text1"/>
          <w:szCs w:val="24"/>
        </w:rPr>
        <w:t xml:space="preserve"> </w:t>
      </w:r>
      <w:r w:rsidRPr="008E0C1D">
        <w:rPr>
          <w:b/>
          <w:bCs/>
          <w:noProof/>
          <w:color w:val="000000" w:themeColor="text1"/>
          <w:szCs w:val="24"/>
        </w:rPr>
        <w:t>37</w:t>
      </w:r>
      <w:r w:rsidRPr="008E0C1D">
        <w:rPr>
          <w:noProof/>
          <w:color w:val="000000" w:themeColor="text1"/>
          <w:szCs w:val="24"/>
        </w:rPr>
        <w:t>, 637–669 (2006).</w:t>
      </w:r>
    </w:p>
    <w:p w14:paraId="28C32C1C"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 </w:t>
      </w:r>
      <w:r w:rsidRPr="008E0C1D">
        <w:rPr>
          <w:noProof/>
          <w:color w:val="000000" w:themeColor="text1"/>
          <w:szCs w:val="24"/>
        </w:rPr>
        <w:tab/>
        <w:t xml:space="preserve">IPCC, </w:t>
      </w:r>
      <w:r w:rsidRPr="008E0C1D">
        <w:rPr>
          <w:i/>
          <w:iCs/>
          <w:noProof/>
          <w:color w:val="000000" w:themeColor="text1"/>
          <w:szCs w:val="24"/>
        </w:rPr>
        <w:t>Climate Change 2014: Impacts, Adaptation, and Vulnerability</w:t>
      </w:r>
      <w:r w:rsidRPr="008E0C1D">
        <w:rPr>
          <w:noProof/>
          <w:color w:val="000000" w:themeColor="text1"/>
          <w:szCs w:val="24"/>
        </w:rPr>
        <w:t xml:space="preserve"> (Cambridge University Press, Cambridge, UK, 2014).</w:t>
      </w:r>
    </w:p>
    <w:p w14:paraId="628007EF"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 </w:t>
      </w:r>
      <w:r w:rsidRPr="008E0C1D">
        <w:rPr>
          <w:noProof/>
          <w:color w:val="000000" w:themeColor="text1"/>
          <w:szCs w:val="24"/>
        </w:rPr>
        <w:tab/>
        <w:t>World Meteorological Organization WMO, Guide to Meteorological Instruments and Methods of Observation (2008).</w:t>
      </w:r>
    </w:p>
    <w:p w14:paraId="64BD4CE4"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6. </w:t>
      </w:r>
      <w:r w:rsidRPr="008E0C1D">
        <w:rPr>
          <w:noProof/>
          <w:color w:val="000000" w:themeColor="text1"/>
          <w:szCs w:val="24"/>
        </w:rPr>
        <w:tab/>
        <w:t xml:space="preserve">C. Moritz, R. Agudo, The future of species under climate change: resilience or decline? </w:t>
      </w:r>
      <w:r w:rsidRPr="008E0C1D">
        <w:rPr>
          <w:i/>
          <w:iCs/>
          <w:noProof/>
          <w:color w:val="000000" w:themeColor="text1"/>
          <w:szCs w:val="24"/>
        </w:rPr>
        <w:t>Science</w:t>
      </w:r>
      <w:r w:rsidRPr="008E0C1D">
        <w:rPr>
          <w:noProof/>
          <w:color w:val="000000" w:themeColor="text1"/>
          <w:szCs w:val="24"/>
        </w:rPr>
        <w:t xml:space="preserve">. </w:t>
      </w:r>
      <w:r w:rsidRPr="008E0C1D">
        <w:rPr>
          <w:b/>
          <w:bCs/>
          <w:noProof/>
          <w:color w:val="000000" w:themeColor="text1"/>
          <w:szCs w:val="24"/>
        </w:rPr>
        <w:t>341</w:t>
      </w:r>
      <w:r w:rsidRPr="008E0C1D">
        <w:rPr>
          <w:noProof/>
          <w:color w:val="000000" w:themeColor="text1"/>
          <w:szCs w:val="24"/>
        </w:rPr>
        <w:t>, 504–8 (2013).</w:t>
      </w:r>
    </w:p>
    <w:p w14:paraId="4D3BA457"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7. </w:t>
      </w:r>
      <w:r w:rsidRPr="008E0C1D">
        <w:rPr>
          <w:noProof/>
          <w:color w:val="000000" w:themeColor="text1"/>
          <w:szCs w:val="24"/>
        </w:rPr>
        <w:tab/>
        <w:t xml:space="preserve">R. Geiger, R. H. Aron, P. Todhunter, </w:t>
      </w:r>
      <w:r w:rsidRPr="008E0C1D">
        <w:rPr>
          <w:i/>
          <w:iCs/>
          <w:noProof/>
          <w:color w:val="000000" w:themeColor="text1"/>
          <w:szCs w:val="24"/>
        </w:rPr>
        <w:t>The climate near the ground</w:t>
      </w:r>
      <w:r w:rsidRPr="008E0C1D">
        <w:rPr>
          <w:noProof/>
          <w:color w:val="000000" w:themeColor="text1"/>
          <w:szCs w:val="24"/>
        </w:rPr>
        <w:t xml:space="preserve"> (Rowman and Littlefield, Oxford, 2003).</w:t>
      </w:r>
    </w:p>
    <w:p w14:paraId="041C6B7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8. </w:t>
      </w:r>
      <w:r w:rsidRPr="008E0C1D">
        <w:rPr>
          <w:noProof/>
          <w:color w:val="000000" w:themeColor="text1"/>
          <w:szCs w:val="24"/>
        </w:rPr>
        <w:tab/>
        <w:t xml:space="preserve">K. A. Potter, H. Arthur Woods, S. Pincebourde, Microclimatic challenges in global change biology.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19</w:t>
      </w:r>
      <w:r w:rsidRPr="008E0C1D">
        <w:rPr>
          <w:noProof/>
          <w:color w:val="000000" w:themeColor="text1"/>
          <w:szCs w:val="24"/>
        </w:rPr>
        <w:t>, 2932–2939 (2013).</w:t>
      </w:r>
    </w:p>
    <w:p w14:paraId="515336C7"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9. </w:t>
      </w:r>
      <w:r w:rsidRPr="008E0C1D">
        <w:rPr>
          <w:noProof/>
          <w:color w:val="000000" w:themeColor="text1"/>
          <w:szCs w:val="24"/>
        </w:rPr>
        <w:tab/>
        <w:t xml:space="preserve">P. De Frenne </w:t>
      </w:r>
      <w:r w:rsidRPr="008E0C1D">
        <w:rPr>
          <w:i/>
          <w:noProof/>
          <w:color w:val="000000" w:themeColor="text1"/>
          <w:szCs w:val="24"/>
        </w:rPr>
        <w:t>et al</w:t>
      </w:r>
      <w:r w:rsidRPr="008E0C1D">
        <w:rPr>
          <w:noProof/>
          <w:color w:val="000000" w:themeColor="text1"/>
          <w:szCs w:val="24"/>
        </w:rPr>
        <w:t xml:space="preserve">., Global buffering of temperatures under forest canopies. </w:t>
      </w:r>
      <w:r w:rsidRPr="008E0C1D">
        <w:rPr>
          <w:i/>
          <w:iCs/>
          <w:noProof/>
          <w:color w:val="000000" w:themeColor="text1"/>
          <w:szCs w:val="24"/>
        </w:rPr>
        <w:t>Nat. Ecol. Evol.</w:t>
      </w:r>
      <w:r w:rsidRPr="008E0C1D">
        <w:rPr>
          <w:noProof/>
          <w:color w:val="000000" w:themeColor="text1"/>
          <w:szCs w:val="24"/>
        </w:rPr>
        <w:t xml:space="preserve"> </w:t>
      </w:r>
      <w:r w:rsidRPr="008E0C1D">
        <w:rPr>
          <w:b/>
          <w:bCs/>
          <w:noProof/>
          <w:color w:val="000000" w:themeColor="text1"/>
          <w:szCs w:val="24"/>
        </w:rPr>
        <w:t>3</w:t>
      </w:r>
      <w:r w:rsidRPr="008E0C1D">
        <w:rPr>
          <w:noProof/>
          <w:color w:val="000000" w:themeColor="text1"/>
          <w:szCs w:val="24"/>
        </w:rPr>
        <w:t>, 744–749 (2019).</w:t>
      </w:r>
    </w:p>
    <w:p w14:paraId="006950E1"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10. </w:t>
      </w:r>
      <w:r w:rsidRPr="008E0C1D">
        <w:rPr>
          <w:noProof/>
          <w:color w:val="000000" w:themeColor="text1"/>
          <w:szCs w:val="24"/>
        </w:rPr>
        <w:tab/>
        <w:t xml:space="preserve">R. Bertrand </w:t>
      </w:r>
      <w:r w:rsidRPr="008E0C1D">
        <w:rPr>
          <w:i/>
          <w:noProof/>
          <w:color w:val="000000" w:themeColor="text1"/>
          <w:szCs w:val="24"/>
        </w:rPr>
        <w:t>et al.</w:t>
      </w:r>
      <w:r w:rsidRPr="008E0C1D">
        <w:rPr>
          <w:noProof/>
          <w:color w:val="000000" w:themeColor="text1"/>
          <w:szCs w:val="24"/>
        </w:rPr>
        <w:t xml:space="preserve">, Changes in plant community composition lag behind climate warming in lowland forests. </w:t>
      </w:r>
      <w:r w:rsidRPr="008E0C1D">
        <w:rPr>
          <w:i/>
          <w:iCs/>
          <w:noProof/>
          <w:color w:val="000000" w:themeColor="text1"/>
          <w:szCs w:val="24"/>
        </w:rPr>
        <w:t>Nature</w:t>
      </w:r>
      <w:r w:rsidRPr="008E0C1D">
        <w:rPr>
          <w:noProof/>
          <w:color w:val="000000" w:themeColor="text1"/>
          <w:szCs w:val="24"/>
        </w:rPr>
        <w:t xml:space="preserve">. </w:t>
      </w:r>
      <w:r w:rsidRPr="008E0C1D">
        <w:rPr>
          <w:b/>
          <w:bCs/>
          <w:noProof/>
          <w:color w:val="000000" w:themeColor="text1"/>
          <w:szCs w:val="24"/>
        </w:rPr>
        <w:t>479</w:t>
      </w:r>
      <w:r w:rsidRPr="008E0C1D">
        <w:rPr>
          <w:noProof/>
          <w:color w:val="000000" w:themeColor="text1"/>
          <w:szCs w:val="24"/>
        </w:rPr>
        <w:t>, 517–520 (2011).</w:t>
      </w:r>
    </w:p>
    <w:p w14:paraId="63508062"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11. </w:t>
      </w:r>
      <w:r w:rsidRPr="008E0C1D">
        <w:rPr>
          <w:noProof/>
          <w:color w:val="000000" w:themeColor="text1"/>
          <w:szCs w:val="24"/>
        </w:rPr>
        <w:tab/>
        <w:t xml:space="preserve">J. M. Alexander </w:t>
      </w:r>
      <w:r w:rsidRPr="008E0C1D">
        <w:rPr>
          <w:i/>
          <w:noProof/>
          <w:color w:val="000000" w:themeColor="text1"/>
          <w:szCs w:val="24"/>
        </w:rPr>
        <w:t>et al.</w:t>
      </w:r>
      <w:r w:rsidRPr="008E0C1D">
        <w:rPr>
          <w:noProof/>
          <w:color w:val="000000" w:themeColor="text1"/>
          <w:szCs w:val="24"/>
        </w:rPr>
        <w:t xml:space="preserve">, Lags in the response of mountain plant communities to climate change.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24</w:t>
      </w:r>
      <w:r w:rsidRPr="008E0C1D">
        <w:rPr>
          <w:noProof/>
          <w:color w:val="000000" w:themeColor="text1"/>
          <w:szCs w:val="24"/>
        </w:rPr>
        <w:t>, 563–579 (2018).</w:t>
      </w:r>
    </w:p>
    <w:p w14:paraId="225A15BC"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12. </w:t>
      </w:r>
      <w:r w:rsidRPr="008E0C1D">
        <w:rPr>
          <w:noProof/>
          <w:color w:val="000000" w:themeColor="text1"/>
          <w:szCs w:val="24"/>
        </w:rPr>
        <w:tab/>
        <w:t xml:space="preserve">B. Fadrique </w:t>
      </w:r>
      <w:r w:rsidRPr="008E0C1D">
        <w:rPr>
          <w:i/>
          <w:noProof/>
          <w:color w:val="000000" w:themeColor="text1"/>
          <w:szCs w:val="24"/>
        </w:rPr>
        <w:t>et al.</w:t>
      </w:r>
      <w:r w:rsidRPr="008E0C1D">
        <w:rPr>
          <w:noProof/>
          <w:color w:val="000000" w:themeColor="text1"/>
          <w:szCs w:val="24"/>
        </w:rPr>
        <w:t xml:space="preserve">, Widespread but heterogeneous responses of Andean forests to climate change. </w:t>
      </w:r>
      <w:r w:rsidRPr="008E0C1D">
        <w:rPr>
          <w:i/>
          <w:iCs/>
          <w:noProof/>
          <w:color w:val="000000" w:themeColor="text1"/>
          <w:szCs w:val="24"/>
        </w:rPr>
        <w:t>Nature</w:t>
      </w:r>
      <w:r w:rsidRPr="008E0C1D">
        <w:rPr>
          <w:noProof/>
          <w:color w:val="000000" w:themeColor="text1"/>
          <w:szCs w:val="24"/>
        </w:rPr>
        <w:t xml:space="preserve">. </w:t>
      </w:r>
      <w:r w:rsidRPr="008E0C1D">
        <w:rPr>
          <w:b/>
          <w:bCs/>
          <w:noProof/>
          <w:color w:val="000000" w:themeColor="text1"/>
          <w:szCs w:val="24"/>
        </w:rPr>
        <w:t>564</w:t>
      </w:r>
      <w:r w:rsidRPr="008E0C1D">
        <w:rPr>
          <w:noProof/>
          <w:color w:val="000000" w:themeColor="text1"/>
          <w:szCs w:val="24"/>
        </w:rPr>
        <w:t>, 207–212 (2018).</w:t>
      </w:r>
    </w:p>
    <w:p w14:paraId="75007EE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13. </w:t>
      </w:r>
      <w:r w:rsidRPr="008E0C1D">
        <w:rPr>
          <w:noProof/>
          <w:color w:val="000000" w:themeColor="text1"/>
          <w:szCs w:val="24"/>
        </w:rPr>
        <w:tab/>
        <w:t xml:space="preserve">V. Devictor </w:t>
      </w:r>
      <w:r w:rsidRPr="008E0C1D">
        <w:rPr>
          <w:i/>
          <w:noProof/>
          <w:color w:val="000000" w:themeColor="text1"/>
          <w:szCs w:val="24"/>
        </w:rPr>
        <w:t>et al.</w:t>
      </w:r>
      <w:r w:rsidRPr="008E0C1D">
        <w:rPr>
          <w:noProof/>
          <w:color w:val="000000" w:themeColor="text1"/>
          <w:szCs w:val="24"/>
        </w:rPr>
        <w:t xml:space="preserve">, Differences in the climatic debts of birds and butterflies at a continental scale. </w:t>
      </w:r>
      <w:r w:rsidRPr="008E0C1D">
        <w:rPr>
          <w:i/>
          <w:iCs/>
          <w:noProof/>
          <w:color w:val="000000" w:themeColor="text1"/>
          <w:szCs w:val="24"/>
        </w:rPr>
        <w:t>Nat. Clim. Chang.</w:t>
      </w:r>
      <w:r w:rsidRPr="008E0C1D">
        <w:rPr>
          <w:noProof/>
          <w:color w:val="000000" w:themeColor="text1"/>
          <w:szCs w:val="24"/>
        </w:rPr>
        <w:t xml:space="preserve"> </w:t>
      </w:r>
      <w:r w:rsidRPr="008E0C1D">
        <w:rPr>
          <w:b/>
          <w:bCs/>
          <w:noProof/>
          <w:color w:val="000000" w:themeColor="text1"/>
          <w:szCs w:val="24"/>
        </w:rPr>
        <w:t>2</w:t>
      </w:r>
      <w:r w:rsidRPr="008E0C1D">
        <w:rPr>
          <w:noProof/>
          <w:color w:val="000000" w:themeColor="text1"/>
          <w:szCs w:val="24"/>
        </w:rPr>
        <w:t>, 121–124 (2012).</w:t>
      </w:r>
    </w:p>
    <w:p w14:paraId="2F1120D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14. </w:t>
      </w:r>
      <w:r w:rsidRPr="008E0C1D">
        <w:rPr>
          <w:noProof/>
          <w:color w:val="000000" w:themeColor="text1"/>
          <w:szCs w:val="24"/>
        </w:rPr>
        <w:tab/>
        <w:t xml:space="preserve">P. De Frenne </w:t>
      </w:r>
      <w:r w:rsidRPr="008E0C1D">
        <w:rPr>
          <w:i/>
          <w:noProof/>
          <w:color w:val="000000" w:themeColor="text1"/>
          <w:szCs w:val="24"/>
        </w:rPr>
        <w:t>et al.</w:t>
      </w:r>
      <w:r w:rsidRPr="008E0C1D">
        <w:rPr>
          <w:noProof/>
          <w:color w:val="000000" w:themeColor="text1"/>
          <w:szCs w:val="24"/>
        </w:rPr>
        <w:t xml:space="preserve">, Microclimate moderates plant responses to macroclimate warming. </w:t>
      </w:r>
      <w:r w:rsidRPr="008E0C1D">
        <w:rPr>
          <w:i/>
          <w:iCs/>
          <w:noProof/>
          <w:color w:val="000000" w:themeColor="text1"/>
          <w:szCs w:val="24"/>
        </w:rPr>
        <w:t>Proc. Natl. Acad. Sci.</w:t>
      </w:r>
      <w:r w:rsidRPr="008E0C1D">
        <w:rPr>
          <w:noProof/>
          <w:color w:val="000000" w:themeColor="text1"/>
          <w:szCs w:val="24"/>
        </w:rPr>
        <w:t xml:space="preserve"> </w:t>
      </w:r>
      <w:r w:rsidRPr="008E0C1D">
        <w:rPr>
          <w:b/>
          <w:bCs/>
          <w:noProof/>
          <w:color w:val="000000" w:themeColor="text1"/>
          <w:szCs w:val="24"/>
        </w:rPr>
        <w:t>110</w:t>
      </w:r>
      <w:r w:rsidRPr="008E0C1D">
        <w:rPr>
          <w:noProof/>
          <w:color w:val="000000" w:themeColor="text1"/>
          <w:szCs w:val="24"/>
        </w:rPr>
        <w:t>, 18561–18565 (2013).</w:t>
      </w:r>
    </w:p>
    <w:p w14:paraId="3F257F25"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15. </w:t>
      </w:r>
      <w:r w:rsidRPr="008E0C1D">
        <w:rPr>
          <w:noProof/>
          <w:color w:val="000000" w:themeColor="text1"/>
          <w:szCs w:val="24"/>
        </w:rPr>
        <w:tab/>
        <w:t xml:space="preserve">J. Lenoir, J. C. Svenning, Climate-related range shifts – a global multidimensional synthesis and new research directions. </w:t>
      </w:r>
      <w:r w:rsidRPr="008E0C1D">
        <w:rPr>
          <w:i/>
          <w:iCs/>
          <w:noProof/>
          <w:color w:val="000000" w:themeColor="text1"/>
          <w:szCs w:val="24"/>
        </w:rPr>
        <w:t>Ecography.</w:t>
      </w:r>
      <w:r w:rsidRPr="008E0C1D">
        <w:rPr>
          <w:noProof/>
          <w:color w:val="000000" w:themeColor="text1"/>
          <w:szCs w:val="24"/>
        </w:rPr>
        <w:t xml:space="preserve"> </w:t>
      </w:r>
      <w:r w:rsidRPr="008E0C1D">
        <w:rPr>
          <w:b/>
          <w:bCs/>
          <w:noProof/>
          <w:color w:val="000000" w:themeColor="text1"/>
          <w:szCs w:val="24"/>
        </w:rPr>
        <w:t>38</w:t>
      </w:r>
      <w:r w:rsidRPr="008E0C1D">
        <w:rPr>
          <w:noProof/>
          <w:color w:val="000000" w:themeColor="text1"/>
          <w:szCs w:val="24"/>
        </w:rPr>
        <w:t>, 15–28 (2015).</w:t>
      </w:r>
    </w:p>
    <w:p w14:paraId="1C8B7A45"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16. </w:t>
      </w:r>
      <w:r w:rsidRPr="008E0C1D">
        <w:rPr>
          <w:noProof/>
          <w:color w:val="000000" w:themeColor="text1"/>
          <w:szCs w:val="24"/>
        </w:rPr>
        <w:tab/>
        <w:t xml:space="preserve">R. D. Stuart-Smith, G. J. Edgar, N. S. Barrett, S. J. Kininmonth, A. E. Bates, Thermal biases and vulnerability to warming in the world € s marine fauna. </w:t>
      </w:r>
      <w:r w:rsidRPr="008E0C1D">
        <w:rPr>
          <w:i/>
          <w:iCs/>
          <w:noProof/>
          <w:color w:val="000000" w:themeColor="text1"/>
          <w:szCs w:val="24"/>
        </w:rPr>
        <w:t>Nature</w:t>
      </w:r>
      <w:r w:rsidRPr="008E0C1D">
        <w:rPr>
          <w:noProof/>
          <w:color w:val="000000" w:themeColor="text1"/>
          <w:szCs w:val="24"/>
        </w:rPr>
        <w:t xml:space="preserve">. </w:t>
      </w:r>
      <w:r w:rsidRPr="008E0C1D">
        <w:rPr>
          <w:b/>
          <w:bCs/>
          <w:noProof/>
          <w:color w:val="000000" w:themeColor="text1"/>
          <w:szCs w:val="24"/>
        </w:rPr>
        <w:t>528</w:t>
      </w:r>
      <w:r w:rsidRPr="008E0C1D">
        <w:rPr>
          <w:noProof/>
          <w:color w:val="000000" w:themeColor="text1"/>
          <w:szCs w:val="24"/>
        </w:rPr>
        <w:t>, 88–92 (2015).</w:t>
      </w:r>
    </w:p>
    <w:p w14:paraId="2DDE7C03"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17. </w:t>
      </w:r>
      <w:r w:rsidRPr="008E0C1D">
        <w:rPr>
          <w:noProof/>
          <w:color w:val="000000" w:themeColor="text1"/>
          <w:szCs w:val="24"/>
        </w:rPr>
        <w:tab/>
        <w:t>M. Gottfried</w:t>
      </w:r>
      <w:r w:rsidRPr="008E0C1D">
        <w:rPr>
          <w:i/>
          <w:noProof/>
          <w:color w:val="000000" w:themeColor="text1"/>
          <w:szCs w:val="24"/>
        </w:rPr>
        <w:t xml:space="preserve"> et al.</w:t>
      </w:r>
      <w:r w:rsidRPr="008E0C1D">
        <w:rPr>
          <w:noProof/>
          <w:color w:val="000000" w:themeColor="text1"/>
          <w:szCs w:val="24"/>
        </w:rPr>
        <w:t xml:space="preserve">, Continent-wide response of mountain vegetation to climate change. </w:t>
      </w:r>
      <w:r w:rsidRPr="008E0C1D">
        <w:rPr>
          <w:i/>
          <w:iCs/>
          <w:noProof/>
          <w:color w:val="000000" w:themeColor="text1"/>
          <w:szCs w:val="24"/>
        </w:rPr>
        <w:t>Nat. Clim. Chang.</w:t>
      </w:r>
      <w:r w:rsidRPr="008E0C1D">
        <w:rPr>
          <w:noProof/>
          <w:color w:val="000000" w:themeColor="text1"/>
          <w:szCs w:val="24"/>
        </w:rPr>
        <w:t xml:space="preserve"> </w:t>
      </w:r>
      <w:r w:rsidRPr="008E0C1D">
        <w:rPr>
          <w:b/>
          <w:bCs/>
          <w:noProof/>
          <w:color w:val="000000" w:themeColor="text1"/>
          <w:szCs w:val="24"/>
        </w:rPr>
        <w:t>2</w:t>
      </w:r>
      <w:r w:rsidRPr="008E0C1D">
        <w:rPr>
          <w:noProof/>
          <w:color w:val="000000" w:themeColor="text1"/>
          <w:szCs w:val="24"/>
        </w:rPr>
        <w:t>, 111–115 (2012).</w:t>
      </w:r>
    </w:p>
    <w:p w14:paraId="4B485BDA"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18. </w:t>
      </w:r>
      <w:r w:rsidRPr="008E0C1D">
        <w:rPr>
          <w:noProof/>
          <w:color w:val="000000" w:themeColor="text1"/>
          <w:szCs w:val="24"/>
        </w:rPr>
        <w:tab/>
        <w:t>S. R. Loarie</w:t>
      </w:r>
      <w:r w:rsidRPr="008E0C1D">
        <w:rPr>
          <w:i/>
          <w:noProof/>
          <w:color w:val="000000" w:themeColor="text1"/>
          <w:szCs w:val="24"/>
        </w:rPr>
        <w:t xml:space="preserve"> et al.</w:t>
      </w:r>
      <w:r w:rsidRPr="008E0C1D">
        <w:rPr>
          <w:noProof/>
          <w:color w:val="000000" w:themeColor="text1"/>
          <w:szCs w:val="24"/>
        </w:rPr>
        <w:t xml:space="preserve">, The velocity of climate change. </w:t>
      </w:r>
      <w:r w:rsidRPr="008E0C1D">
        <w:rPr>
          <w:i/>
          <w:iCs/>
          <w:noProof/>
          <w:color w:val="000000" w:themeColor="text1"/>
          <w:szCs w:val="24"/>
        </w:rPr>
        <w:t>Nature</w:t>
      </w:r>
      <w:r w:rsidRPr="008E0C1D">
        <w:rPr>
          <w:noProof/>
          <w:color w:val="000000" w:themeColor="text1"/>
          <w:szCs w:val="24"/>
        </w:rPr>
        <w:t xml:space="preserve">. </w:t>
      </w:r>
      <w:r w:rsidRPr="008E0C1D">
        <w:rPr>
          <w:b/>
          <w:bCs/>
          <w:noProof/>
          <w:color w:val="000000" w:themeColor="text1"/>
          <w:szCs w:val="24"/>
        </w:rPr>
        <w:t>462</w:t>
      </w:r>
      <w:r w:rsidRPr="008E0C1D">
        <w:rPr>
          <w:noProof/>
          <w:color w:val="000000" w:themeColor="text1"/>
          <w:szCs w:val="24"/>
        </w:rPr>
        <w:t>, 1052–1055 (2009).</w:t>
      </w:r>
    </w:p>
    <w:p w14:paraId="31F88F17"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19. </w:t>
      </w:r>
      <w:r w:rsidRPr="008E0C1D">
        <w:rPr>
          <w:noProof/>
          <w:color w:val="000000" w:themeColor="text1"/>
          <w:szCs w:val="24"/>
        </w:rPr>
        <w:tab/>
        <w:t>M. T. Burrows</w:t>
      </w:r>
      <w:r w:rsidRPr="008E0C1D">
        <w:rPr>
          <w:i/>
          <w:noProof/>
          <w:color w:val="000000" w:themeColor="text1"/>
          <w:szCs w:val="24"/>
        </w:rPr>
        <w:t xml:space="preserve"> et al.</w:t>
      </w:r>
      <w:r w:rsidRPr="008E0C1D">
        <w:rPr>
          <w:noProof/>
          <w:color w:val="000000" w:themeColor="text1"/>
          <w:szCs w:val="24"/>
        </w:rPr>
        <w:t xml:space="preserve">, The Pace of Shifting Climate in Marine and Terrestrial Ecosystems. </w:t>
      </w:r>
      <w:r w:rsidRPr="008E0C1D">
        <w:rPr>
          <w:i/>
          <w:iCs/>
          <w:noProof/>
          <w:color w:val="000000" w:themeColor="text1"/>
          <w:szCs w:val="24"/>
        </w:rPr>
        <w:t>Science.</w:t>
      </w:r>
      <w:r w:rsidRPr="008E0C1D">
        <w:rPr>
          <w:noProof/>
          <w:color w:val="000000" w:themeColor="text1"/>
          <w:szCs w:val="24"/>
        </w:rPr>
        <w:t xml:space="preserve"> </w:t>
      </w:r>
      <w:r w:rsidRPr="008E0C1D">
        <w:rPr>
          <w:b/>
          <w:bCs/>
          <w:noProof/>
          <w:color w:val="000000" w:themeColor="text1"/>
          <w:szCs w:val="24"/>
        </w:rPr>
        <w:t>334</w:t>
      </w:r>
      <w:r w:rsidRPr="008E0C1D">
        <w:rPr>
          <w:noProof/>
          <w:color w:val="000000" w:themeColor="text1"/>
          <w:szCs w:val="24"/>
        </w:rPr>
        <w:t>, 652–655 (2011).</w:t>
      </w:r>
    </w:p>
    <w:p w14:paraId="2796377B"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20. </w:t>
      </w:r>
      <w:r w:rsidRPr="008E0C1D">
        <w:rPr>
          <w:noProof/>
          <w:color w:val="000000" w:themeColor="text1"/>
          <w:szCs w:val="24"/>
        </w:rPr>
        <w:tab/>
        <w:t>R. Bertrand</w:t>
      </w:r>
      <w:r w:rsidRPr="008E0C1D">
        <w:rPr>
          <w:i/>
          <w:noProof/>
          <w:color w:val="000000" w:themeColor="text1"/>
          <w:szCs w:val="24"/>
        </w:rPr>
        <w:t xml:space="preserve"> et al.</w:t>
      </w:r>
      <w:r w:rsidRPr="008E0C1D">
        <w:rPr>
          <w:noProof/>
          <w:color w:val="000000" w:themeColor="text1"/>
          <w:szCs w:val="24"/>
        </w:rPr>
        <w:t xml:space="preserve">, Ecological constraints increase the climatic debt in forests. </w:t>
      </w:r>
      <w:r w:rsidRPr="008E0C1D">
        <w:rPr>
          <w:i/>
          <w:iCs/>
          <w:noProof/>
          <w:color w:val="000000" w:themeColor="text1"/>
          <w:szCs w:val="24"/>
        </w:rPr>
        <w:t>Nat. Commun.</w:t>
      </w:r>
      <w:r w:rsidRPr="008E0C1D">
        <w:rPr>
          <w:noProof/>
          <w:color w:val="000000" w:themeColor="text1"/>
          <w:szCs w:val="24"/>
        </w:rPr>
        <w:t xml:space="preserve"> </w:t>
      </w:r>
      <w:r w:rsidRPr="008E0C1D">
        <w:rPr>
          <w:b/>
          <w:bCs/>
          <w:noProof/>
          <w:color w:val="000000" w:themeColor="text1"/>
          <w:szCs w:val="24"/>
        </w:rPr>
        <w:t>7</w:t>
      </w:r>
      <w:r w:rsidRPr="008E0C1D">
        <w:rPr>
          <w:noProof/>
          <w:color w:val="000000" w:themeColor="text1"/>
          <w:szCs w:val="24"/>
        </w:rPr>
        <w:t>, 12643 (2016).</w:t>
      </w:r>
    </w:p>
    <w:p w14:paraId="48DB2028"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21. </w:t>
      </w:r>
      <w:r w:rsidRPr="008E0C1D">
        <w:rPr>
          <w:noProof/>
          <w:color w:val="000000" w:themeColor="text1"/>
          <w:szCs w:val="24"/>
        </w:rPr>
        <w:tab/>
        <w:t>F. Zellweger</w:t>
      </w:r>
      <w:r w:rsidRPr="008E0C1D">
        <w:rPr>
          <w:i/>
          <w:noProof/>
          <w:color w:val="000000" w:themeColor="text1"/>
          <w:szCs w:val="24"/>
        </w:rPr>
        <w:t xml:space="preserve"> et al.</w:t>
      </w:r>
      <w:r w:rsidRPr="008E0C1D">
        <w:rPr>
          <w:noProof/>
          <w:color w:val="000000" w:themeColor="text1"/>
          <w:szCs w:val="24"/>
        </w:rPr>
        <w:t xml:space="preserve">, Seasonal drivers of understorey temperature buffering in temperate deciduous forests across Europe. </w:t>
      </w:r>
      <w:r w:rsidRPr="008E0C1D">
        <w:rPr>
          <w:i/>
          <w:iCs/>
          <w:noProof/>
          <w:color w:val="000000" w:themeColor="text1"/>
          <w:szCs w:val="24"/>
        </w:rPr>
        <w:t>Glob. Ecol. Biogeogr.</w:t>
      </w:r>
      <w:r w:rsidRPr="008E0C1D">
        <w:rPr>
          <w:noProof/>
          <w:color w:val="000000" w:themeColor="text1"/>
          <w:szCs w:val="24"/>
        </w:rPr>
        <w:t xml:space="preserve"> </w:t>
      </w:r>
      <w:r w:rsidRPr="008E0C1D">
        <w:rPr>
          <w:b/>
          <w:bCs/>
          <w:noProof/>
          <w:color w:val="000000" w:themeColor="text1"/>
          <w:szCs w:val="24"/>
        </w:rPr>
        <w:t>28</w:t>
      </w:r>
      <w:r w:rsidRPr="008E0C1D">
        <w:rPr>
          <w:noProof/>
          <w:color w:val="000000" w:themeColor="text1"/>
          <w:szCs w:val="24"/>
        </w:rPr>
        <w:t>, 1774–1786 (2019).</w:t>
      </w:r>
    </w:p>
    <w:p w14:paraId="196D7A65"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22. </w:t>
      </w:r>
      <w:r w:rsidRPr="008E0C1D">
        <w:rPr>
          <w:noProof/>
          <w:color w:val="000000" w:themeColor="text1"/>
          <w:szCs w:val="24"/>
        </w:rPr>
        <w:tab/>
        <w:t>T. Jucker</w:t>
      </w:r>
      <w:r w:rsidRPr="008E0C1D">
        <w:rPr>
          <w:i/>
          <w:noProof/>
          <w:color w:val="000000" w:themeColor="text1"/>
          <w:szCs w:val="24"/>
        </w:rPr>
        <w:t xml:space="preserve"> et al.</w:t>
      </w:r>
      <w:r w:rsidRPr="008E0C1D">
        <w:rPr>
          <w:noProof/>
          <w:color w:val="000000" w:themeColor="text1"/>
          <w:szCs w:val="24"/>
        </w:rPr>
        <w:t xml:space="preserve">, Canopy structure and topography jointly constrain the microclimate of human-modified tropical landscapes.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24</w:t>
      </w:r>
      <w:r w:rsidRPr="008E0C1D">
        <w:rPr>
          <w:noProof/>
          <w:color w:val="000000" w:themeColor="text1"/>
          <w:szCs w:val="24"/>
        </w:rPr>
        <w:t>, 5243–5258 (2018).</w:t>
      </w:r>
    </w:p>
    <w:p w14:paraId="17FD42B2"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23. </w:t>
      </w:r>
      <w:r w:rsidRPr="008E0C1D">
        <w:rPr>
          <w:noProof/>
          <w:color w:val="000000" w:themeColor="text1"/>
          <w:szCs w:val="24"/>
        </w:rPr>
        <w:tab/>
        <w:t>“Materials and methods are available as supplementary materials.”</w:t>
      </w:r>
    </w:p>
    <w:p w14:paraId="69F45D82"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24. </w:t>
      </w:r>
      <w:r w:rsidRPr="008E0C1D">
        <w:rPr>
          <w:noProof/>
          <w:color w:val="000000" w:themeColor="text1"/>
          <w:szCs w:val="24"/>
        </w:rPr>
        <w:tab/>
        <w:t>A. J. Nowakowski</w:t>
      </w:r>
      <w:r w:rsidRPr="008E0C1D">
        <w:rPr>
          <w:i/>
          <w:noProof/>
          <w:color w:val="000000" w:themeColor="text1"/>
          <w:szCs w:val="24"/>
        </w:rPr>
        <w:t xml:space="preserve"> et al.</w:t>
      </w:r>
      <w:r w:rsidRPr="008E0C1D">
        <w:rPr>
          <w:noProof/>
          <w:color w:val="000000" w:themeColor="text1"/>
          <w:szCs w:val="24"/>
        </w:rPr>
        <w:t xml:space="preserve">, Thermal biology mediates responses of amphibians and reptiles to habitat modification. </w:t>
      </w:r>
      <w:r w:rsidRPr="008E0C1D">
        <w:rPr>
          <w:i/>
          <w:iCs/>
          <w:noProof/>
          <w:color w:val="000000" w:themeColor="text1"/>
          <w:szCs w:val="24"/>
        </w:rPr>
        <w:t>Ecol Lett</w:t>
      </w:r>
      <w:r w:rsidRPr="008E0C1D">
        <w:rPr>
          <w:noProof/>
          <w:color w:val="000000" w:themeColor="text1"/>
          <w:szCs w:val="24"/>
        </w:rPr>
        <w:t xml:space="preserve">. </w:t>
      </w:r>
      <w:r w:rsidRPr="008E0C1D">
        <w:rPr>
          <w:b/>
          <w:bCs/>
          <w:noProof/>
          <w:color w:val="000000" w:themeColor="text1"/>
          <w:szCs w:val="24"/>
        </w:rPr>
        <w:t>21</w:t>
      </w:r>
      <w:r w:rsidRPr="008E0C1D">
        <w:rPr>
          <w:noProof/>
          <w:color w:val="000000" w:themeColor="text1"/>
          <w:szCs w:val="24"/>
        </w:rPr>
        <w:t>, 345–355 (2018).</w:t>
      </w:r>
    </w:p>
    <w:p w14:paraId="5EB442EE"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25. </w:t>
      </w:r>
      <w:r w:rsidRPr="008E0C1D">
        <w:rPr>
          <w:noProof/>
          <w:color w:val="000000" w:themeColor="text1"/>
          <w:szCs w:val="24"/>
        </w:rPr>
        <w:tab/>
        <w:t>MEA, “Millennium Ecosystem Assessment. Ecosystems and Human Well-being: Biodiversity Sysnthesis” (World Resource Institute, Washington, DC, 2005), (available at internal-pdf://228.60.152.82/Assessment-2005.pdf LB  - MEA).</w:t>
      </w:r>
    </w:p>
    <w:p w14:paraId="44788438"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26. </w:t>
      </w:r>
      <w:r w:rsidRPr="008E0C1D">
        <w:rPr>
          <w:noProof/>
          <w:color w:val="000000" w:themeColor="text1"/>
          <w:szCs w:val="24"/>
        </w:rPr>
        <w:tab/>
        <w:t>I. Bramer</w:t>
      </w:r>
      <w:r w:rsidRPr="008E0C1D">
        <w:rPr>
          <w:i/>
          <w:noProof/>
          <w:color w:val="000000" w:themeColor="text1"/>
          <w:szCs w:val="24"/>
        </w:rPr>
        <w:t xml:space="preserve"> et al.</w:t>
      </w:r>
      <w:r w:rsidRPr="008E0C1D">
        <w:rPr>
          <w:noProof/>
          <w:color w:val="000000" w:themeColor="text1"/>
          <w:szCs w:val="24"/>
        </w:rPr>
        <w:t xml:space="preserve">, Advances in Monitoring and Modelling Climate at Ecologically Relevant Scales. </w:t>
      </w:r>
      <w:r w:rsidRPr="008E0C1D">
        <w:rPr>
          <w:i/>
          <w:iCs/>
          <w:noProof/>
          <w:color w:val="000000" w:themeColor="text1"/>
          <w:szCs w:val="24"/>
        </w:rPr>
        <w:t>Adv. Ecol. Res.</w:t>
      </w:r>
      <w:r w:rsidRPr="008E0C1D">
        <w:rPr>
          <w:noProof/>
          <w:color w:val="000000" w:themeColor="text1"/>
          <w:szCs w:val="24"/>
        </w:rPr>
        <w:t xml:space="preserve"> </w:t>
      </w:r>
      <w:r w:rsidRPr="008E0C1D">
        <w:rPr>
          <w:b/>
          <w:bCs/>
          <w:noProof/>
          <w:color w:val="000000" w:themeColor="text1"/>
          <w:szCs w:val="24"/>
        </w:rPr>
        <w:t>58</w:t>
      </w:r>
      <w:r w:rsidRPr="008E0C1D">
        <w:rPr>
          <w:noProof/>
          <w:color w:val="000000" w:themeColor="text1"/>
          <w:szCs w:val="24"/>
        </w:rPr>
        <w:t>, 101–161 (2018).</w:t>
      </w:r>
    </w:p>
    <w:p w14:paraId="5E75376D"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27. </w:t>
      </w:r>
      <w:r w:rsidRPr="008E0C1D">
        <w:rPr>
          <w:noProof/>
          <w:color w:val="000000" w:themeColor="text1"/>
          <w:szCs w:val="24"/>
        </w:rPr>
        <w:tab/>
        <w:t xml:space="preserve">J. Lenoir, T. Hattab, G. Pierre, Climatic microrefugia under anthropogenic climate change: implications for species redistribution. </w:t>
      </w:r>
      <w:r w:rsidRPr="008E0C1D">
        <w:rPr>
          <w:i/>
          <w:iCs/>
          <w:noProof/>
          <w:color w:val="000000" w:themeColor="text1"/>
          <w:szCs w:val="24"/>
        </w:rPr>
        <w:t>Ecography.</w:t>
      </w:r>
      <w:r w:rsidRPr="008E0C1D">
        <w:rPr>
          <w:noProof/>
          <w:color w:val="000000" w:themeColor="text1"/>
          <w:szCs w:val="24"/>
        </w:rPr>
        <w:t xml:space="preserve"> </w:t>
      </w:r>
      <w:r w:rsidRPr="008E0C1D">
        <w:rPr>
          <w:b/>
          <w:bCs/>
          <w:noProof/>
          <w:color w:val="000000" w:themeColor="text1"/>
          <w:szCs w:val="24"/>
        </w:rPr>
        <w:t>40</w:t>
      </w:r>
      <w:r w:rsidRPr="008E0C1D">
        <w:rPr>
          <w:noProof/>
          <w:color w:val="000000" w:themeColor="text1"/>
          <w:szCs w:val="24"/>
        </w:rPr>
        <w:t>, 253–266 (2017).</w:t>
      </w:r>
    </w:p>
    <w:p w14:paraId="51DC3DB1"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28. </w:t>
      </w:r>
      <w:r w:rsidRPr="008E0C1D">
        <w:rPr>
          <w:noProof/>
          <w:color w:val="000000" w:themeColor="text1"/>
          <w:szCs w:val="24"/>
        </w:rPr>
        <w:tab/>
        <w:t xml:space="preserve">F. Zellweger, P. De Frenne, J. Lenoir, D. Rocchini, D. Coomes, Advances in microclimate ecology arising from remote sensing. </w:t>
      </w:r>
      <w:r w:rsidRPr="008E0C1D">
        <w:rPr>
          <w:i/>
          <w:iCs/>
          <w:noProof/>
          <w:color w:val="000000" w:themeColor="text1"/>
          <w:szCs w:val="24"/>
        </w:rPr>
        <w:t>Trends Ecol. Evol.</w:t>
      </w:r>
      <w:r w:rsidRPr="008E0C1D">
        <w:rPr>
          <w:noProof/>
          <w:color w:val="000000" w:themeColor="text1"/>
          <w:szCs w:val="24"/>
        </w:rPr>
        <w:t xml:space="preserve"> </w:t>
      </w:r>
      <w:r w:rsidRPr="008E0C1D">
        <w:rPr>
          <w:b/>
          <w:bCs/>
          <w:noProof/>
          <w:color w:val="000000" w:themeColor="text1"/>
          <w:szCs w:val="24"/>
        </w:rPr>
        <w:t>34</w:t>
      </w:r>
      <w:r w:rsidRPr="008E0C1D">
        <w:rPr>
          <w:noProof/>
          <w:color w:val="000000" w:themeColor="text1"/>
          <w:szCs w:val="24"/>
        </w:rPr>
        <w:t>, 327–341 (2019).</w:t>
      </w:r>
    </w:p>
    <w:p w14:paraId="09379B20"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lastRenderedPageBreak/>
        <w:t xml:space="preserve">29. </w:t>
      </w:r>
      <w:r w:rsidRPr="008E0C1D">
        <w:rPr>
          <w:noProof/>
          <w:color w:val="000000" w:themeColor="text1"/>
          <w:szCs w:val="24"/>
        </w:rPr>
        <w:tab/>
        <w:t xml:space="preserve">M. R. Kearney, P. K. Gillingham, I. Bramer, J. P. Duffy, I. M. D. Maclean, A method for computing hourly, historical, terrain-corrected microclimate anywhere on Earth. </w:t>
      </w:r>
      <w:r w:rsidRPr="008E0C1D">
        <w:rPr>
          <w:i/>
          <w:iCs/>
          <w:noProof/>
          <w:color w:val="000000" w:themeColor="text1"/>
          <w:szCs w:val="24"/>
        </w:rPr>
        <w:t>Methods Ecol. Evol.</w:t>
      </w:r>
      <w:r w:rsidRPr="008E0C1D">
        <w:rPr>
          <w:noProof/>
          <w:color w:val="000000" w:themeColor="text1"/>
          <w:szCs w:val="24"/>
        </w:rPr>
        <w:t xml:space="preserve"> (2019).</w:t>
      </w:r>
    </w:p>
    <w:p w14:paraId="3546DCB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30. </w:t>
      </w:r>
      <w:r w:rsidRPr="008E0C1D">
        <w:rPr>
          <w:noProof/>
          <w:color w:val="000000" w:themeColor="text1"/>
          <w:szCs w:val="24"/>
        </w:rPr>
        <w:tab/>
        <w:t>C. P. Reyer</w:t>
      </w:r>
      <w:r w:rsidRPr="008E0C1D">
        <w:rPr>
          <w:i/>
          <w:noProof/>
          <w:color w:val="000000" w:themeColor="text1"/>
          <w:szCs w:val="24"/>
        </w:rPr>
        <w:t xml:space="preserve"> et al.</w:t>
      </w:r>
      <w:r w:rsidRPr="008E0C1D">
        <w:rPr>
          <w:noProof/>
          <w:color w:val="000000" w:themeColor="text1"/>
          <w:szCs w:val="24"/>
        </w:rPr>
        <w:t xml:space="preserve">, A plant’s perspective of extremes: terrestrial plant responses to changing climatic variability.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19</w:t>
      </w:r>
      <w:r w:rsidRPr="008E0C1D">
        <w:rPr>
          <w:noProof/>
          <w:color w:val="000000" w:themeColor="text1"/>
          <w:szCs w:val="24"/>
        </w:rPr>
        <w:t>, 75–89 (2013).</w:t>
      </w:r>
    </w:p>
    <w:p w14:paraId="7A8E13E5"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31. </w:t>
      </w:r>
      <w:r w:rsidRPr="008E0C1D">
        <w:rPr>
          <w:noProof/>
          <w:color w:val="000000" w:themeColor="text1"/>
          <w:szCs w:val="24"/>
        </w:rPr>
        <w:tab/>
        <w:t>A. J. Suggitt</w:t>
      </w:r>
      <w:r w:rsidRPr="008E0C1D">
        <w:rPr>
          <w:i/>
          <w:noProof/>
          <w:color w:val="000000" w:themeColor="text1"/>
          <w:szCs w:val="24"/>
        </w:rPr>
        <w:t xml:space="preserve"> et al.</w:t>
      </w:r>
      <w:r w:rsidRPr="008E0C1D">
        <w:rPr>
          <w:noProof/>
          <w:color w:val="000000" w:themeColor="text1"/>
          <w:szCs w:val="24"/>
        </w:rPr>
        <w:t xml:space="preserve">, Extinction risk from climate change is reduced by microclimatic buffering. </w:t>
      </w:r>
      <w:r w:rsidRPr="008E0C1D">
        <w:rPr>
          <w:i/>
          <w:iCs/>
          <w:noProof/>
          <w:color w:val="000000" w:themeColor="text1"/>
          <w:szCs w:val="24"/>
        </w:rPr>
        <w:t>Nat. Clim. Chang.</w:t>
      </w:r>
      <w:r w:rsidRPr="008E0C1D">
        <w:rPr>
          <w:noProof/>
          <w:color w:val="000000" w:themeColor="text1"/>
          <w:szCs w:val="24"/>
        </w:rPr>
        <w:t xml:space="preserve"> </w:t>
      </w:r>
      <w:r w:rsidRPr="008E0C1D">
        <w:rPr>
          <w:b/>
          <w:bCs/>
          <w:noProof/>
          <w:color w:val="000000" w:themeColor="text1"/>
          <w:szCs w:val="24"/>
        </w:rPr>
        <w:t>8</w:t>
      </w:r>
      <w:r w:rsidRPr="008E0C1D">
        <w:rPr>
          <w:noProof/>
          <w:color w:val="000000" w:themeColor="text1"/>
          <w:szCs w:val="24"/>
        </w:rPr>
        <w:t>, 713–717 (2018).</w:t>
      </w:r>
    </w:p>
    <w:p w14:paraId="379E39F8"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32. </w:t>
      </w:r>
      <w:r w:rsidRPr="008E0C1D">
        <w:rPr>
          <w:noProof/>
          <w:color w:val="000000" w:themeColor="text1"/>
          <w:szCs w:val="24"/>
        </w:rPr>
        <w:tab/>
        <w:t xml:space="preserve">D. Scherrer, C. Körner, Topographically controlled thermal-habitat differentiation buffers alpine plant diversity against climate warming. </w:t>
      </w:r>
      <w:r w:rsidRPr="008E0C1D">
        <w:rPr>
          <w:i/>
          <w:iCs/>
          <w:noProof/>
          <w:color w:val="000000" w:themeColor="text1"/>
          <w:szCs w:val="24"/>
        </w:rPr>
        <w:t>J. Biogeogr.</w:t>
      </w:r>
      <w:r w:rsidRPr="008E0C1D">
        <w:rPr>
          <w:noProof/>
          <w:color w:val="000000" w:themeColor="text1"/>
          <w:szCs w:val="24"/>
        </w:rPr>
        <w:t xml:space="preserve"> </w:t>
      </w:r>
      <w:r w:rsidRPr="008E0C1D">
        <w:rPr>
          <w:b/>
          <w:bCs/>
          <w:noProof/>
          <w:color w:val="000000" w:themeColor="text1"/>
          <w:szCs w:val="24"/>
        </w:rPr>
        <w:t>38</w:t>
      </w:r>
      <w:r w:rsidRPr="008E0C1D">
        <w:rPr>
          <w:noProof/>
          <w:color w:val="000000" w:themeColor="text1"/>
          <w:szCs w:val="24"/>
        </w:rPr>
        <w:t>, 406–416 (2011).</w:t>
      </w:r>
    </w:p>
    <w:p w14:paraId="4C22A9A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33. </w:t>
      </w:r>
      <w:r w:rsidRPr="008E0C1D">
        <w:rPr>
          <w:noProof/>
          <w:color w:val="000000" w:themeColor="text1"/>
          <w:szCs w:val="24"/>
        </w:rPr>
        <w:tab/>
        <w:t>M. Lindner</w:t>
      </w:r>
      <w:r w:rsidRPr="008E0C1D">
        <w:rPr>
          <w:i/>
          <w:noProof/>
          <w:color w:val="000000" w:themeColor="text1"/>
          <w:szCs w:val="24"/>
        </w:rPr>
        <w:t xml:space="preserve"> et al.</w:t>
      </w:r>
      <w:r w:rsidRPr="008E0C1D">
        <w:rPr>
          <w:noProof/>
          <w:color w:val="000000" w:themeColor="text1"/>
          <w:szCs w:val="24"/>
        </w:rPr>
        <w:t xml:space="preserve">, Climate change impacts, adaptive capacity, and vulnerability of European forest ecosystems. </w:t>
      </w:r>
      <w:r w:rsidRPr="008E0C1D">
        <w:rPr>
          <w:i/>
          <w:iCs/>
          <w:noProof/>
          <w:color w:val="000000" w:themeColor="text1"/>
          <w:szCs w:val="24"/>
        </w:rPr>
        <w:t>For. Ecol. Manage.</w:t>
      </w:r>
      <w:r w:rsidRPr="008E0C1D">
        <w:rPr>
          <w:noProof/>
          <w:color w:val="000000" w:themeColor="text1"/>
          <w:szCs w:val="24"/>
        </w:rPr>
        <w:t xml:space="preserve"> </w:t>
      </w:r>
      <w:r w:rsidRPr="008E0C1D">
        <w:rPr>
          <w:b/>
          <w:bCs/>
          <w:noProof/>
          <w:color w:val="000000" w:themeColor="text1"/>
          <w:szCs w:val="24"/>
        </w:rPr>
        <w:t>259</w:t>
      </w:r>
      <w:r w:rsidRPr="008E0C1D">
        <w:rPr>
          <w:noProof/>
          <w:color w:val="000000" w:themeColor="text1"/>
          <w:szCs w:val="24"/>
        </w:rPr>
        <w:t>, 698–709 (2010).</w:t>
      </w:r>
    </w:p>
    <w:p w14:paraId="68D314E0"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34. </w:t>
      </w:r>
      <w:r w:rsidRPr="008E0C1D">
        <w:rPr>
          <w:noProof/>
          <w:color w:val="000000" w:themeColor="text1"/>
          <w:szCs w:val="24"/>
        </w:rPr>
        <w:tab/>
        <w:t xml:space="preserve">S. Gold, A. Korotkov, V. Sasse, The development of European forest resources, 1950 to 2000. </w:t>
      </w:r>
      <w:r w:rsidRPr="008E0C1D">
        <w:rPr>
          <w:i/>
          <w:iCs/>
          <w:noProof/>
          <w:color w:val="000000" w:themeColor="text1"/>
          <w:szCs w:val="24"/>
        </w:rPr>
        <w:t>For. Policy Econ.</w:t>
      </w:r>
      <w:r w:rsidRPr="008E0C1D">
        <w:rPr>
          <w:noProof/>
          <w:color w:val="000000" w:themeColor="text1"/>
          <w:szCs w:val="24"/>
        </w:rPr>
        <w:t xml:space="preserve"> </w:t>
      </w:r>
      <w:r w:rsidRPr="008E0C1D">
        <w:rPr>
          <w:b/>
          <w:bCs/>
          <w:noProof/>
          <w:color w:val="000000" w:themeColor="text1"/>
          <w:szCs w:val="24"/>
        </w:rPr>
        <w:t>8</w:t>
      </w:r>
      <w:r w:rsidRPr="008E0C1D">
        <w:rPr>
          <w:noProof/>
          <w:color w:val="000000" w:themeColor="text1"/>
          <w:szCs w:val="24"/>
        </w:rPr>
        <w:t>, 183–192 (2006).</w:t>
      </w:r>
    </w:p>
    <w:p w14:paraId="04D4D1D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35. </w:t>
      </w:r>
      <w:r w:rsidRPr="008E0C1D">
        <w:rPr>
          <w:noProof/>
          <w:color w:val="000000" w:themeColor="text1"/>
          <w:szCs w:val="24"/>
        </w:rPr>
        <w:tab/>
        <w:t>K. Verheyen</w:t>
      </w:r>
      <w:r w:rsidRPr="008E0C1D">
        <w:rPr>
          <w:i/>
          <w:noProof/>
          <w:color w:val="000000" w:themeColor="text1"/>
          <w:szCs w:val="24"/>
        </w:rPr>
        <w:t xml:space="preserve"> et al.</w:t>
      </w:r>
      <w:r w:rsidRPr="008E0C1D">
        <w:rPr>
          <w:noProof/>
          <w:color w:val="000000" w:themeColor="text1"/>
          <w:szCs w:val="24"/>
        </w:rPr>
        <w:t xml:space="preserve">, Combining biodiversity resurveys across regions to advance global change research. </w:t>
      </w:r>
      <w:r w:rsidRPr="008E0C1D">
        <w:rPr>
          <w:i/>
          <w:iCs/>
          <w:noProof/>
          <w:color w:val="000000" w:themeColor="text1"/>
          <w:szCs w:val="24"/>
        </w:rPr>
        <w:t>Bioscience</w:t>
      </w:r>
      <w:r w:rsidRPr="008E0C1D">
        <w:rPr>
          <w:noProof/>
          <w:color w:val="000000" w:themeColor="text1"/>
          <w:szCs w:val="24"/>
        </w:rPr>
        <w:t xml:space="preserve">. </w:t>
      </w:r>
      <w:r w:rsidRPr="008E0C1D">
        <w:rPr>
          <w:b/>
          <w:bCs/>
          <w:noProof/>
          <w:color w:val="000000" w:themeColor="text1"/>
          <w:szCs w:val="24"/>
        </w:rPr>
        <w:t>67</w:t>
      </w:r>
      <w:r w:rsidRPr="008E0C1D">
        <w:rPr>
          <w:noProof/>
          <w:color w:val="000000" w:themeColor="text1"/>
          <w:szCs w:val="24"/>
        </w:rPr>
        <w:t>, 73–83 (2017).</w:t>
      </w:r>
    </w:p>
    <w:p w14:paraId="7382A6E7"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36. </w:t>
      </w:r>
      <w:r w:rsidRPr="008E0C1D">
        <w:rPr>
          <w:noProof/>
          <w:color w:val="000000" w:themeColor="text1"/>
          <w:szCs w:val="24"/>
        </w:rPr>
        <w:tab/>
        <w:t xml:space="preserve">M. Hermy, O. Honnay, L. Firbank, C. Grashof-Bokdam, J. E. Lawesson, An ecological comparison between ancient and other forest plant species of Europe, and the implications for forest conservation. </w:t>
      </w:r>
      <w:r w:rsidRPr="008E0C1D">
        <w:rPr>
          <w:i/>
          <w:iCs/>
          <w:noProof/>
          <w:color w:val="000000" w:themeColor="text1"/>
          <w:szCs w:val="24"/>
        </w:rPr>
        <w:t>Biol. Conserv.</w:t>
      </w:r>
      <w:r w:rsidRPr="008E0C1D">
        <w:rPr>
          <w:noProof/>
          <w:color w:val="000000" w:themeColor="text1"/>
          <w:szCs w:val="24"/>
        </w:rPr>
        <w:t xml:space="preserve"> </w:t>
      </w:r>
      <w:r w:rsidRPr="008E0C1D">
        <w:rPr>
          <w:b/>
          <w:bCs/>
          <w:noProof/>
          <w:color w:val="000000" w:themeColor="text1"/>
          <w:szCs w:val="24"/>
        </w:rPr>
        <w:t>91</w:t>
      </w:r>
      <w:r w:rsidRPr="008E0C1D">
        <w:rPr>
          <w:noProof/>
          <w:color w:val="000000" w:themeColor="text1"/>
          <w:szCs w:val="24"/>
        </w:rPr>
        <w:t>, 9–22 (1999).</w:t>
      </w:r>
    </w:p>
    <w:p w14:paraId="7649D38A"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37. </w:t>
      </w:r>
      <w:r w:rsidRPr="008E0C1D">
        <w:rPr>
          <w:noProof/>
          <w:color w:val="000000" w:themeColor="text1"/>
          <w:szCs w:val="24"/>
        </w:rPr>
        <w:tab/>
        <w:t>FAO, “Food and Agricultural Organization of the United Nations. Global Forest Resources Assessment (Rome, 2015)” (2015), (available at internal-pdf://57.13.130.56/FAO-2015.pdf).</w:t>
      </w:r>
    </w:p>
    <w:p w14:paraId="09455D6E"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38. </w:t>
      </w:r>
      <w:r w:rsidRPr="008E0C1D">
        <w:rPr>
          <w:noProof/>
          <w:color w:val="000000" w:themeColor="text1"/>
          <w:szCs w:val="24"/>
        </w:rPr>
        <w:tab/>
        <w:t>M. Bernhardt-Romermann</w:t>
      </w:r>
      <w:r w:rsidRPr="008E0C1D">
        <w:rPr>
          <w:i/>
          <w:noProof/>
          <w:color w:val="000000" w:themeColor="text1"/>
          <w:szCs w:val="24"/>
        </w:rPr>
        <w:t xml:space="preserve"> et al.</w:t>
      </w:r>
      <w:r w:rsidRPr="008E0C1D">
        <w:rPr>
          <w:noProof/>
          <w:color w:val="000000" w:themeColor="text1"/>
          <w:szCs w:val="24"/>
        </w:rPr>
        <w:t xml:space="preserve">, Drivers of temporal changes in temperate forest plant diversity vary across spatial scales.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21</w:t>
      </w:r>
      <w:r w:rsidRPr="008E0C1D">
        <w:rPr>
          <w:noProof/>
          <w:color w:val="000000" w:themeColor="text1"/>
          <w:szCs w:val="24"/>
        </w:rPr>
        <w:t>, 3726–3737 (2015).</w:t>
      </w:r>
    </w:p>
    <w:p w14:paraId="451E080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39. </w:t>
      </w:r>
      <w:r w:rsidRPr="008E0C1D">
        <w:rPr>
          <w:noProof/>
          <w:color w:val="000000" w:themeColor="text1"/>
          <w:szCs w:val="24"/>
        </w:rPr>
        <w:tab/>
        <w:t>M. P. Perring</w:t>
      </w:r>
      <w:r w:rsidRPr="008E0C1D">
        <w:rPr>
          <w:i/>
          <w:noProof/>
          <w:color w:val="000000" w:themeColor="text1"/>
          <w:szCs w:val="24"/>
        </w:rPr>
        <w:t xml:space="preserve"> et al.</w:t>
      </w:r>
      <w:r w:rsidRPr="008E0C1D">
        <w:rPr>
          <w:noProof/>
          <w:color w:val="000000" w:themeColor="text1"/>
          <w:szCs w:val="24"/>
        </w:rPr>
        <w:t xml:space="preserve">, Global environmental change effects on plant community composition trajectories depend upon management legacies. </w:t>
      </w:r>
      <w:r w:rsidRPr="008E0C1D">
        <w:rPr>
          <w:i/>
          <w:iCs/>
          <w:noProof/>
          <w:color w:val="000000" w:themeColor="text1"/>
          <w:szCs w:val="24"/>
        </w:rPr>
        <w:t>Glob. Chang. Biol.</w:t>
      </w:r>
      <w:r w:rsidRPr="008E0C1D">
        <w:rPr>
          <w:noProof/>
          <w:color w:val="000000" w:themeColor="text1"/>
          <w:szCs w:val="24"/>
        </w:rPr>
        <w:t xml:space="preserve"> </w:t>
      </w:r>
      <w:r w:rsidRPr="008E0C1D">
        <w:rPr>
          <w:b/>
          <w:bCs/>
          <w:noProof/>
          <w:color w:val="000000" w:themeColor="text1"/>
          <w:szCs w:val="24"/>
        </w:rPr>
        <w:t>24</w:t>
      </w:r>
      <w:r w:rsidRPr="008E0C1D">
        <w:rPr>
          <w:noProof/>
          <w:color w:val="000000" w:themeColor="text1"/>
          <w:szCs w:val="24"/>
        </w:rPr>
        <w:t>, 1722–1740 (2018).</w:t>
      </w:r>
    </w:p>
    <w:p w14:paraId="2C26977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40. </w:t>
      </w:r>
      <w:r w:rsidRPr="008E0C1D">
        <w:rPr>
          <w:noProof/>
          <w:color w:val="000000" w:themeColor="text1"/>
          <w:szCs w:val="24"/>
        </w:rPr>
        <w:tab/>
        <w:t xml:space="preserve">J. T. Abatzoglou, S. Z. Dobrowski, S. A. Parks, K. C. Hegewisch, TerraClimate, a high-resolution global dataset of monthly climate and climatic water balance from 1958–2015. </w:t>
      </w:r>
      <w:r w:rsidRPr="008E0C1D">
        <w:rPr>
          <w:i/>
          <w:iCs/>
          <w:noProof/>
          <w:color w:val="000000" w:themeColor="text1"/>
          <w:szCs w:val="24"/>
        </w:rPr>
        <w:t>Sci. Data</w:t>
      </w:r>
      <w:r w:rsidRPr="008E0C1D">
        <w:rPr>
          <w:noProof/>
          <w:color w:val="000000" w:themeColor="text1"/>
          <w:szCs w:val="24"/>
        </w:rPr>
        <w:t xml:space="preserve">. </w:t>
      </w:r>
      <w:r w:rsidRPr="008E0C1D">
        <w:rPr>
          <w:b/>
          <w:bCs/>
          <w:noProof/>
          <w:color w:val="000000" w:themeColor="text1"/>
          <w:szCs w:val="24"/>
        </w:rPr>
        <w:t>5</w:t>
      </w:r>
      <w:r w:rsidRPr="008E0C1D">
        <w:rPr>
          <w:noProof/>
          <w:color w:val="000000" w:themeColor="text1"/>
          <w:szCs w:val="24"/>
        </w:rPr>
        <w:t>, 170191 (2018).</w:t>
      </w:r>
    </w:p>
    <w:p w14:paraId="5F8D5611"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41. </w:t>
      </w:r>
      <w:r w:rsidRPr="008E0C1D">
        <w:rPr>
          <w:noProof/>
          <w:color w:val="000000" w:themeColor="text1"/>
          <w:szCs w:val="24"/>
        </w:rPr>
        <w:tab/>
        <w:t xml:space="preserve">I. Harris, P. D. Jones, T. J. Osborn, D. H. Lister, Updated high-resolution grids of monthly climatic observations - the CRU TS3.10 Dataset. </w:t>
      </w:r>
      <w:r w:rsidRPr="008E0C1D">
        <w:rPr>
          <w:i/>
          <w:iCs/>
          <w:noProof/>
          <w:color w:val="000000" w:themeColor="text1"/>
          <w:szCs w:val="24"/>
        </w:rPr>
        <w:t>Int. J. Climatol.</w:t>
      </w:r>
      <w:r w:rsidRPr="008E0C1D">
        <w:rPr>
          <w:noProof/>
          <w:color w:val="000000" w:themeColor="text1"/>
          <w:szCs w:val="24"/>
        </w:rPr>
        <w:t xml:space="preserve"> </w:t>
      </w:r>
      <w:r w:rsidRPr="008E0C1D">
        <w:rPr>
          <w:b/>
          <w:bCs/>
          <w:noProof/>
          <w:color w:val="000000" w:themeColor="text1"/>
          <w:szCs w:val="24"/>
        </w:rPr>
        <w:t>34</w:t>
      </w:r>
      <w:r w:rsidRPr="008E0C1D">
        <w:rPr>
          <w:noProof/>
          <w:color w:val="000000" w:themeColor="text1"/>
          <w:szCs w:val="24"/>
        </w:rPr>
        <w:t>, 623–642 (2014).</w:t>
      </w:r>
    </w:p>
    <w:p w14:paraId="4C2BBFF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42. </w:t>
      </w:r>
      <w:r w:rsidRPr="008E0C1D">
        <w:rPr>
          <w:noProof/>
          <w:color w:val="000000" w:themeColor="text1"/>
          <w:szCs w:val="24"/>
        </w:rPr>
        <w:tab/>
        <w:t>D. R. Roberts</w:t>
      </w:r>
      <w:r w:rsidRPr="008E0C1D">
        <w:rPr>
          <w:i/>
          <w:noProof/>
          <w:color w:val="000000" w:themeColor="text1"/>
          <w:szCs w:val="24"/>
        </w:rPr>
        <w:t xml:space="preserve"> et al.</w:t>
      </w:r>
      <w:r w:rsidRPr="008E0C1D">
        <w:rPr>
          <w:noProof/>
          <w:color w:val="000000" w:themeColor="text1"/>
          <w:szCs w:val="24"/>
        </w:rPr>
        <w:t xml:space="preserve">, Cross-validation strategies for data with temporal, spatial, hierarchical, or phylogenetic structure. </w:t>
      </w:r>
      <w:r w:rsidRPr="008E0C1D">
        <w:rPr>
          <w:i/>
          <w:iCs/>
          <w:noProof/>
          <w:color w:val="000000" w:themeColor="text1"/>
          <w:szCs w:val="24"/>
        </w:rPr>
        <w:t>Ecography.</w:t>
      </w:r>
      <w:r w:rsidRPr="008E0C1D">
        <w:rPr>
          <w:noProof/>
          <w:color w:val="000000" w:themeColor="text1"/>
          <w:szCs w:val="24"/>
        </w:rPr>
        <w:t xml:space="preserve"> </w:t>
      </w:r>
      <w:r w:rsidRPr="008E0C1D">
        <w:rPr>
          <w:b/>
          <w:bCs/>
          <w:noProof/>
          <w:color w:val="000000" w:themeColor="text1"/>
          <w:szCs w:val="24"/>
        </w:rPr>
        <w:t>40</w:t>
      </w:r>
      <w:r w:rsidRPr="008E0C1D">
        <w:rPr>
          <w:noProof/>
          <w:color w:val="000000" w:themeColor="text1"/>
          <w:szCs w:val="24"/>
        </w:rPr>
        <w:t>, 913–929 (2017).</w:t>
      </w:r>
    </w:p>
    <w:p w14:paraId="45702EE3"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43. </w:t>
      </w:r>
      <w:r w:rsidRPr="008E0C1D">
        <w:rPr>
          <w:noProof/>
          <w:color w:val="000000" w:themeColor="text1"/>
          <w:szCs w:val="24"/>
        </w:rPr>
        <w:tab/>
        <w:t xml:space="preserve">M. Macek, M. Kopecký, J. Wild, Maximum air temperature controlled by landscape topography affects plant species composition in temperate forests. </w:t>
      </w:r>
      <w:r w:rsidRPr="008E0C1D">
        <w:rPr>
          <w:i/>
          <w:iCs/>
          <w:noProof/>
          <w:color w:val="000000" w:themeColor="text1"/>
          <w:szCs w:val="24"/>
        </w:rPr>
        <w:t>Landsc. Ecol.</w:t>
      </w:r>
      <w:r w:rsidRPr="008E0C1D">
        <w:rPr>
          <w:noProof/>
          <w:color w:val="000000" w:themeColor="text1"/>
          <w:szCs w:val="24"/>
        </w:rPr>
        <w:t xml:space="preserve"> </w:t>
      </w:r>
      <w:r w:rsidRPr="008E0C1D">
        <w:rPr>
          <w:b/>
          <w:bCs/>
          <w:noProof/>
          <w:color w:val="000000" w:themeColor="text1"/>
          <w:szCs w:val="24"/>
        </w:rPr>
        <w:t>34</w:t>
      </w:r>
      <w:r w:rsidRPr="008E0C1D">
        <w:rPr>
          <w:noProof/>
          <w:color w:val="000000" w:themeColor="text1"/>
          <w:szCs w:val="24"/>
        </w:rPr>
        <w:t>, 2541–2556 (2019).</w:t>
      </w:r>
    </w:p>
    <w:p w14:paraId="7BC3913A"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44. </w:t>
      </w:r>
      <w:r w:rsidRPr="008E0C1D">
        <w:rPr>
          <w:noProof/>
          <w:color w:val="000000" w:themeColor="text1"/>
          <w:szCs w:val="24"/>
        </w:rPr>
        <w:tab/>
        <w:t xml:space="preserve">C. Körner, E. Hiltbrunner, The 90 ways to describe plant temperature. </w:t>
      </w:r>
      <w:r w:rsidRPr="008E0C1D">
        <w:rPr>
          <w:i/>
          <w:iCs/>
          <w:noProof/>
          <w:color w:val="000000" w:themeColor="text1"/>
          <w:szCs w:val="24"/>
        </w:rPr>
        <w:t>Perspect. Plant Ecol. Evol. Syst.</w:t>
      </w:r>
      <w:r w:rsidRPr="008E0C1D">
        <w:rPr>
          <w:noProof/>
          <w:color w:val="000000" w:themeColor="text1"/>
          <w:szCs w:val="24"/>
        </w:rPr>
        <w:t xml:space="preserve"> </w:t>
      </w:r>
      <w:r w:rsidRPr="008E0C1D">
        <w:rPr>
          <w:b/>
          <w:bCs/>
          <w:noProof/>
          <w:color w:val="000000" w:themeColor="text1"/>
          <w:szCs w:val="24"/>
        </w:rPr>
        <w:t>30</w:t>
      </w:r>
      <w:r w:rsidRPr="008E0C1D">
        <w:rPr>
          <w:noProof/>
          <w:color w:val="000000" w:themeColor="text1"/>
          <w:szCs w:val="24"/>
        </w:rPr>
        <w:t>, 16–21 (2018).</w:t>
      </w:r>
    </w:p>
    <w:p w14:paraId="18A76B50"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45. </w:t>
      </w:r>
      <w:r w:rsidRPr="008E0C1D">
        <w:rPr>
          <w:noProof/>
          <w:color w:val="000000" w:themeColor="text1"/>
          <w:szCs w:val="24"/>
        </w:rPr>
        <w:tab/>
        <w:t>J. J. Lembrechts</w:t>
      </w:r>
      <w:r w:rsidRPr="008E0C1D">
        <w:rPr>
          <w:i/>
          <w:noProof/>
          <w:color w:val="000000" w:themeColor="text1"/>
          <w:szCs w:val="24"/>
        </w:rPr>
        <w:t xml:space="preserve"> et al.</w:t>
      </w:r>
      <w:r w:rsidRPr="008E0C1D">
        <w:rPr>
          <w:noProof/>
          <w:color w:val="000000" w:themeColor="text1"/>
          <w:szCs w:val="24"/>
        </w:rPr>
        <w:t>,</w:t>
      </w:r>
      <w:r w:rsidRPr="008E0C1D">
        <w:rPr>
          <w:color w:val="000000" w:themeColor="text1"/>
          <w:szCs w:val="24"/>
        </w:rPr>
        <w:t xml:space="preserve"> Comparing temperature data sources for use in species distribution models: From in</w:t>
      </w:r>
      <w:r w:rsidRPr="008E0C1D">
        <w:rPr>
          <w:rFonts w:ascii="Cambria Math" w:hAnsi="Cambria Math" w:cs="Cambria Math"/>
          <w:color w:val="000000" w:themeColor="text1"/>
          <w:szCs w:val="24"/>
        </w:rPr>
        <w:t>‐</w:t>
      </w:r>
      <w:r w:rsidRPr="008E0C1D">
        <w:rPr>
          <w:color w:val="000000" w:themeColor="text1"/>
          <w:szCs w:val="24"/>
        </w:rPr>
        <w:t>situ logging to remote sensing.</w:t>
      </w:r>
      <w:r w:rsidRPr="008E0C1D">
        <w:rPr>
          <w:noProof/>
          <w:color w:val="000000" w:themeColor="text1"/>
          <w:szCs w:val="24"/>
        </w:rPr>
        <w:t xml:space="preserve"> </w:t>
      </w:r>
      <w:r w:rsidRPr="008E0C1D">
        <w:rPr>
          <w:i/>
          <w:iCs/>
          <w:noProof/>
          <w:color w:val="000000" w:themeColor="text1"/>
          <w:szCs w:val="24"/>
        </w:rPr>
        <w:t>Glob. Ecol. Biogeogr.</w:t>
      </w:r>
      <w:r w:rsidRPr="008E0C1D">
        <w:rPr>
          <w:noProof/>
          <w:color w:val="000000" w:themeColor="text1"/>
          <w:szCs w:val="24"/>
        </w:rPr>
        <w:t>, in press, doi:10.1111/geb.12974.</w:t>
      </w:r>
    </w:p>
    <w:p w14:paraId="69CC9EAC"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46. </w:t>
      </w:r>
      <w:r w:rsidRPr="008E0C1D">
        <w:rPr>
          <w:noProof/>
          <w:color w:val="000000" w:themeColor="text1"/>
          <w:szCs w:val="24"/>
        </w:rPr>
        <w:tab/>
        <w:t xml:space="preserve">I. M. D. Maclean, J. R. Mosedale, J. J. Bennie, Microclima: an R package for modelling meso- and microclimate. </w:t>
      </w:r>
      <w:r w:rsidRPr="008E0C1D">
        <w:rPr>
          <w:i/>
          <w:iCs/>
          <w:noProof/>
          <w:color w:val="000000" w:themeColor="text1"/>
          <w:szCs w:val="24"/>
        </w:rPr>
        <w:t>Methods Ecol. Evol.</w:t>
      </w:r>
      <w:r w:rsidRPr="008E0C1D">
        <w:rPr>
          <w:noProof/>
          <w:color w:val="000000" w:themeColor="text1"/>
          <w:szCs w:val="24"/>
        </w:rPr>
        <w:t xml:space="preserve"> </w:t>
      </w:r>
      <w:r w:rsidRPr="008E0C1D">
        <w:rPr>
          <w:b/>
          <w:bCs/>
          <w:noProof/>
          <w:color w:val="000000" w:themeColor="text1"/>
          <w:szCs w:val="24"/>
        </w:rPr>
        <w:t>10</w:t>
      </w:r>
      <w:r w:rsidRPr="008E0C1D">
        <w:rPr>
          <w:noProof/>
          <w:color w:val="000000" w:themeColor="text1"/>
          <w:szCs w:val="24"/>
        </w:rPr>
        <w:t>, 280–290 (2018).</w:t>
      </w:r>
    </w:p>
    <w:p w14:paraId="69F018AE"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47. </w:t>
      </w:r>
      <w:r w:rsidRPr="008E0C1D">
        <w:rPr>
          <w:noProof/>
          <w:color w:val="000000" w:themeColor="text1"/>
          <w:szCs w:val="24"/>
        </w:rPr>
        <w:tab/>
        <w:t xml:space="preserve">S. E. Fick, R. J. Hijmans, WorldClim 2: new 1-km spatial resolution climate surfaces for global land areas. </w:t>
      </w:r>
      <w:r w:rsidRPr="008E0C1D">
        <w:rPr>
          <w:i/>
          <w:iCs/>
          <w:noProof/>
          <w:color w:val="000000" w:themeColor="text1"/>
          <w:szCs w:val="24"/>
        </w:rPr>
        <w:t>Int. J. Climatol.</w:t>
      </w:r>
      <w:r w:rsidRPr="008E0C1D">
        <w:rPr>
          <w:noProof/>
          <w:color w:val="000000" w:themeColor="text1"/>
          <w:szCs w:val="24"/>
        </w:rPr>
        <w:t xml:space="preserve"> </w:t>
      </w:r>
      <w:r w:rsidRPr="008E0C1D">
        <w:rPr>
          <w:b/>
          <w:bCs/>
          <w:noProof/>
          <w:color w:val="000000" w:themeColor="text1"/>
          <w:szCs w:val="24"/>
        </w:rPr>
        <w:t>37</w:t>
      </w:r>
      <w:r w:rsidRPr="008E0C1D">
        <w:rPr>
          <w:noProof/>
          <w:color w:val="000000" w:themeColor="text1"/>
          <w:szCs w:val="24"/>
        </w:rPr>
        <w:t xml:space="preserve"> (2017), doi:10.1002/joc.5086.</w:t>
      </w:r>
    </w:p>
    <w:p w14:paraId="3AEFB024"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48. </w:t>
      </w:r>
      <w:r w:rsidRPr="008E0C1D">
        <w:rPr>
          <w:noProof/>
          <w:color w:val="000000" w:themeColor="text1"/>
          <w:szCs w:val="24"/>
        </w:rPr>
        <w:tab/>
        <w:t xml:space="preserve">E. Hultén, M. Fries, </w:t>
      </w:r>
      <w:r w:rsidRPr="008E0C1D">
        <w:rPr>
          <w:i/>
          <w:iCs/>
          <w:noProof/>
          <w:color w:val="000000" w:themeColor="text1"/>
          <w:szCs w:val="24"/>
        </w:rPr>
        <w:t>Atlas of North European Vascular Plants: North of the Tropic of Cancer</w:t>
      </w:r>
      <w:r w:rsidRPr="008E0C1D">
        <w:rPr>
          <w:noProof/>
          <w:color w:val="000000" w:themeColor="text1"/>
          <w:szCs w:val="24"/>
        </w:rPr>
        <w:t xml:space="preserve"> (Koeltz Scientific, Königstein, Germany, 1986).</w:t>
      </w:r>
    </w:p>
    <w:p w14:paraId="18452242"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49. </w:t>
      </w:r>
      <w:r w:rsidRPr="008E0C1D">
        <w:rPr>
          <w:noProof/>
          <w:color w:val="000000" w:themeColor="text1"/>
          <w:szCs w:val="24"/>
        </w:rPr>
        <w:tab/>
        <w:t xml:space="preserve">H. Meusel, E. Jäger, </w:t>
      </w:r>
      <w:r w:rsidRPr="008E0C1D">
        <w:rPr>
          <w:i/>
          <w:iCs/>
          <w:noProof/>
          <w:color w:val="000000" w:themeColor="text1"/>
          <w:szCs w:val="24"/>
        </w:rPr>
        <w:t>Comparative Chorology of the Central European Flora</w:t>
      </w:r>
      <w:r w:rsidRPr="008E0C1D">
        <w:rPr>
          <w:noProof/>
          <w:color w:val="000000" w:themeColor="text1"/>
          <w:szCs w:val="24"/>
        </w:rPr>
        <w:t xml:space="preserve"> (Fischer, Jena, Germany, 2011).</w:t>
      </w:r>
    </w:p>
    <w:p w14:paraId="2F3FF4E6"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50. </w:t>
      </w:r>
      <w:r w:rsidRPr="008E0C1D">
        <w:rPr>
          <w:noProof/>
          <w:color w:val="000000" w:themeColor="text1"/>
          <w:szCs w:val="24"/>
        </w:rPr>
        <w:tab/>
        <w:t xml:space="preserve">F. Rodríguez-Sánchez, P. De Frenne, A. Hampe, Uncertainty in thermal tolerances and climatic debt. </w:t>
      </w:r>
      <w:r w:rsidRPr="008E0C1D">
        <w:rPr>
          <w:i/>
          <w:iCs/>
          <w:noProof/>
          <w:color w:val="000000" w:themeColor="text1"/>
          <w:szCs w:val="24"/>
        </w:rPr>
        <w:t>Nat. Clim. Chang.</w:t>
      </w:r>
      <w:r w:rsidRPr="008E0C1D">
        <w:rPr>
          <w:noProof/>
          <w:color w:val="000000" w:themeColor="text1"/>
          <w:szCs w:val="24"/>
        </w:rPr>
        <w:t xml:space="preserve"> </w:t>
      </w:r>
      <w:r w:rsidRPr="008E0C1D">
        <w:rPr>
          <w:b/>
          <w:bCs/>
          <w:noProof/>
          <w:color w:val="000000" w:themeColor="text1"/>
          <w:szCs w:val="24"/>
        </w:rPr>
        <w:t>2</w:t>
      </w:r>
      <w:r w:rsidRPr="008E0C1D">
        <w:rPr>
          <w:noProof/>
          <w:color w:val="000000" w:themeColor="text1"/>
          <w:szCs w:val="24"/>
        </w:rPr>
        <w:t xml:space="preserve"> (2012), doi:10.1038/.</w:t>
      </w:r>
    </w:p>
    <w:p w14:paraId="43A2FADD"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51. </w:t>
      </w:r>
      <w:r w:rsidRPr="008E0C1D">
        <w:rPr>
          <w:noProof/>
          <w:color w:val="000000" w:themeColor="text1"/>
          <w:szCs w:val="24"/>
        </w:rPr>
        <w:tab/>
        <w:t xml:space="preserve">J. C. Svenning, B. Sandel, Disequilibrium vegetation dynamics under future climate change. </w:t>
      </w:r>
      <w:r w:rsidRPr="008E0C1D">
        <w:rPr>
          <w:i/>
          <w:iCs/>
          <w:noProof/>
          <w:color w:val="000000" w:themeColor="text1"/>
          <w:szCs w:val="24"/>
        </w:rPr>
        <w:t>Am. J. Bot.</w:t>
      </w:r>
      <w:r w:rsidRPr="008E0C1D">
        <w:rPr>
          <w:noProof/>
          <w:color w:val="000000" w:themeColor="text1"/>
          <w:szCs w:val="24"/>
        </w:rPr>
        <w:t xml:space="preserve"> </w:t>
      </w:r>
      <w:r w:rsidRPr="008E0C1D">
        <w:rPr>
          <w:b/>
          <w:bCs/>
          <w:noProof/>
          <w:color w:val="000000" w:themeColor="text1"/>
          <w:szCs w:val="24"/>
        </w:rPr>
        <w:t>100</w:t>
      </w:r>
      <w:r w:rsidRPr="008E0C1D">
        <w:rPr>
          <w:noProof/>
          <w:color w:val="000000" w:themeColor="text1"/>
          <w:szCs w:val="24"/>
        </w:rPr>
        <w:t>, 1266–1286 (2013).</w:t>
      </w:r>
    </w:p>
    <w:p w14:paraId="5E7ECBEC"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52. </w:t>
      </w:r>
      <w:r w:rsidRPr="008E0C1D">
        <w:rPr>
          <w:noProof/>
          <w:color w:val="000000" w:themeColor="text1"/>
          <w:szCs w:val="24"/>
        </w:rPr>
        <w:tab/>
        <w:t xml:space="preserve">D. Bates, M. Mächler, B. Bolker, S. Walker, Fitting Linear Mixed-Effects Models Using lme4. </w:t>
      </w:r>
      <w:r w:rsidRPr="008E0C1D">
        <w:rPr>
          <w:i/>
          <w:iCs/>
          <w:noProof/>
          <w:color w:val="000000" w:themeColor="text1"/>
          <w:szCs w:val="24"/>
        </w:rPr>
        <w:t>J. Stat. Softw.</w:t>
      </w:r>
      <w:r w:rsidRPr="008E0C1D">
        <w:rPr>
          <w:noProof/>
          <w:color w:val="000000" w:themeColor="text1"/>
          <w:szCs w:val="24"/>
        </w:rPr>
        <w:t xml:space="preserve"> </w:t>
      </w:r>
      <w:r w:rsidRPr="008E0C1D">
        <w:rPr>
          <w:b/>
          <w:bCs/>
          <w:noProof/>
          <w:color w:val="000000" w:themeColor="text1"/>
          <w:szCs w:val="24"/>
        </w:rPr>
        <w:t>67</w:t>
      </w:r>
      <w:r w:rsidRPr="008E0C1D">
        <w:rPr>
          <w:noProof/>
          <w:color w:val="000000" w:themeColor="text1"/>
          <w:szCs w:val="24"/>
        </w:rPr>
        <w:t xml:space="preserve"> (2015) (available at https://www.jstatsoft.org/v067/i01).</w:t>
      </w:r>
    </w:p>
    <w:p w14:paraId="4161FC31"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53. </w:t>
      </w:r>
      <w:r w:rsidRPr="008E0C1D">
        <w:rPr>
          <w:noProof/>
          <w:color w:val="000000" w:themeColor="text1"/>
          <w:szCs w:val="24"/>
        </w:rPr>
        <w:tab/>
        <w:t xml:space="preserve">A. F. Zuur, E. N. Ieno, N. J. Walker, A. A. Saveliev, G. M. Smith, </w:t>
      </w:r>
      <w:r w:rsidRPr="008E0C1D">
        <w:rPr>
          <w:i/>
          <w:iCs/>
          <w:noProof/>
          <w:color w:val="000000" w:themeColor="text1"/>
          <w:szCs w:val="24"/>
        </w:rPr>
        <w:t>Mixed Effects Models and Extensions in Ecology with R</w:t>
      </w:r>
      <w:r w:rsidRPr="008E0C1D">
        <w:rPr>
          <w:noProof/>
          <w:color w:val="000000" w:themeColor="text1"/>
          <w:szCs w:val="24"/>
        </w:rPr>
        <w:t xml:space="preserve"> (Springer, New York, 2009).</w:t>
      </w:r>
    </w:p>
    <w:p w14:paraId="6714CD5F"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54. </w:t>
      </w:r>
      <w:r w:rsidRPr="008E0C1D">
        <w:rPr>
          <w:noProof/>
          <w:color w:val="000000" w:themeColor="text1"/>
          <w:szCs w:val="24"/>
        </w:rPr>
        <w:tab/>
        <w:t xml:space="preserve">S. Nakagawa, H. Schielzeth, A general and simple method for obtaining R2 from generalized linear mixed-effects models. </w:t>
      </w:r>
      <w:r w:rsidRPr="008E0C1D">
        <w:rPr>
          <w:i/>
          <w:iCs/>
          <w:noProof/>
          <w:color w:val="000000" w:themeColor="text1"/>
          <w:szCs w:val="24"/>
        </w:rPr>
        <w:t>Methods Ecol. Evol.</w:t>
      </w:r>
      <w:r w:rsidRPr="008E0C1D">
        <w:rPr>
          <w:noProof/>
          <w:color w:val="000000" w:themeColor="text1"/>
          <w:szCs w:val="24"/>
        </w:rPr>
        <w:t xml:space="preserve"> </w:t>
      </w:r>
      <w:r w:rsidRPr="008E0C1D">
        <w:rPr>
          <w:b/>
          <w:bCs/>
          <w:noProof/>
          <w:color w:val="000000" w:themeColor="text1"/>
          <w:szCs w:val="24"/>
        </w:rPr>
        <w:t>4</w:t>
      </w:r>
      <w:r w:rsidRPr="008E0C1D">
        <w:rPr>
          <w:noProof/>
          <w:color w:val="000000" w:themeColor="text1"/>
          <w:szCs w:val="24"/>
        </w:rPr>
        <w:t>, 133–142 (2012).</w:t>
      </w:r>
    </w:p>
    <w:p w14:paraId="2417B318"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55. </w:t>
      </w:r>
      <w:r w:rsidRPr="008E0C1D">
        <w:rPr>
          <w:noProof/>
          <w:color w:val="000000" w:themeColor="text1"/>
          <w:szCs w:val="24"/>
        </w:rPr>
        <w:tab/>
        <w:t>K. Barton, MuMIn: Multi-Model Inference. R package version 1.40.4 (2018), (available at https://cran.r-project.org/package=MuMIn).</w:t>
      </w:r>
    </w:p>
    <w:p w14:paraId="3C3E63AE"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56. </w:t>
      </w:r>
      <w:r w:rsidRPr="008E0C1D">
        <w:rPr>
          <w:noProof/>
          <w:color w:val="000000" w:themeColor="text1"/>
          <w:szCs w:val="24"/>
        </w:rPr>
        <w:tab/>
        <w:t xml:space="preserve">H. Schielzeth, Simple means to improve the interpretability of regression coefficients. </w:t>
      </w:r>
      <w:r w:rsidRPr="008E0C1D">
        <w:rPr>
          <w:i/>
          <w:iCs/>
          <w:noProof/>
          <w:color w:val="000000" w:themeColor="text1"/>
          <w:szCs w:val="24"/>
        </w:rPr>
        <w:t>Methods Ecol. Evol.</w:t>
      </w:r>
      <w:r w:rsidRPr="008E0C1D">
        <w:rPr>
          <w:noProof/>
          <w:color w:val="000000" w:themeColor="text1"/>
          <w:szCs w:val="24"/>
        </w:rPr>
        <w:t xml:space="preserve"> </w:t>
      </w:r>
      <w:r w:rsidRPr="008E0C1D">
        <w:rPr>
          <w:b/>
          <w:bCs/>
          <w:noProof/>
          <w:color w:val="000000" w:themeColor="text1"/>
          <w:szCs w:val="24"/>
        </w:rPr>
        <w:lastRenderedPageBreak/>
        <w:t>1</w:t>
      </w:r>
      <w:r w:rsidRPr="008E0C1D">
        <w:rPr>
          <w:noProof/>
          <w:color w:val="000000" w:themeColor="text1"/>
          <w:szCs w:val="24"/>
        </w:rPr>
        <w:t>, 103–113 (2010).</w:t>
      </w:r>
    </w:p>
    <w:p w14:paraId="4082DA62"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57. </w:t>
      </w:r>
      <w:r w:rsidRPr="008E0C1D">
        <w:rPr>
          <w:noProof/>
          <w:color w:val="000000" w:themeColor="text1"/>
          <w:szCs w:val="24"/>
        </w:rPr>
        <w:tab/>
        <w:t xml:space="preserve">S. N. Wood, </w:t>
      </w:r>
      <w:r w:rsidRPr="008E0C1D">
        <w:rPr>
          <w:i/>
          <w:iCs/>
          <w:noProof/>
          <w:color w:val="000000" w:themeColor="text1"/>
          <w:szCs w:val="24"/>
        </w:rPr>
        <w:t>Generalized Additive Models: An Introduction with R</w:t>
      </w:r>
      <w:r w:rsidRPr="008E0C1D">
        <w:rPr>
          <w:noProof/>
          <w:color w:val="000000" w:themeColor="text1"/>
          <w:szCs w:val="24"/>
        </w:rPr>
        <w:t xml:space="preserve"> (Chapman and Hall/CRC, ed. 2, 2017).</w:t>
      </w:r>
    </w:p>
    <w:p w14:paraId="7700C913"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58. </w:t>
      </w:r>
      <w:r w:rsidRPr="008E0C1D">
        <w:rPr>
          <w:noProof/>
          <w:color w:val="000000" w:themeColor="text1"/>
          <w:szCs w:val="24"/>
        </w:rPr>
        <w:tab/>
        <w:t xml:space="preserve">R. C. Team, </w:t>
      </w:r>
      <w:r w:rsidRPr="008E0C1D">
        <w:rPr>
          <w:i/>
          <w:iCs/>
          <w:noProof/>
          <w:color w:val="000000" w:themeColor="text1"/>
          <w:szCs w:val="24"/>
        </w:rPr>
        <w:t>R: A language and environment for statistical computing</w:t>
      </w:r>
      <w:r w:rsidRPr="008E0C1D">
        <w:rPr>
          <w:noProof/>
          <w:color w:val="000000" w:themeColor="text1"/>
          <w:szCs w:val="24"/>
        </w:rPr>
        <w:t xml:space="preserve"> (R Foundation for Statistical Computing, Vienna, Austria, 2018).</w:t>
      </w:r>
    </w:p>
    <w:p w14:paraId="742ED82F" w14:textId="77777777" w:rsidR="004428C2" w:rsidRPr="008E0C1D" w:rsidRDefault="004428C2" w:rsidP="004428C2">
      <w:pPr>
        <w:widowControl w:val="0"/>
        <w:autoSpaceDE w:val="0"/>
        <w:autoSpaceDN w:val="0"/>
        <w:adjustRightInd w:val="0"/>
        <w:ind w:left="640" w:hanging="640"/>
        <w:rPr>
          <w:noProof/>
          <w:color w:val="000000" w:themeColor="text1"/>
          <w:szCs w:val="24"/>
        </w:rPr>
      </w:pPr>
      <w:r w:rsidRPr="008E0C1D">
        <w:rPr>
          <w:noProof/>
          <w:color w:val="000000" w:themeColor="text1"/>
          <w:szCs w:val="24"/>
        </w:rPr>
        <w:t xml:space="preserve">59. </w:t>
      </w:r>
      <w:r w:rsidRPr="008E0C1D">
        <w:rPr>
          <w:noProof/>
          <w:color w:val="000000" w:themeColor="text1"/>
          <w:szCs w:val="24"/>
        </w:rPr>
        <w:tab/>
        <w:t xml:space="preserve">P. De Frenne </w:t>
      </w:r>
      <w:r w:rsidRPr="008E0C1D">
        <w:rPr>
          <w:i/>
          <w:noProof/>
          <w:color w:val="000000" w:themeColor="text1"/>
          <w:szCs w:val="24"/>
        </w:rPr>
        <w:t>et al</w:t>
      </w:r>
      <w:r w:rsidRPr="008E0C1D">
        <w:rPr>
          <w:noProof/>
          <w:color w:val="000000" w:themeColor="text1"/>
          <w:szCs w:val="24"/>
        </w:rPr>
        <w:t xml:space="preserve">., Light accelerates plant responses to warming. </w:t>
      </w:r>
      <w:r w:rsidRPr="008E0C1D">
        <w:rPr>
          <w:i/>
          <w:iCs/>
          <w:noProof/>
          <w:color w:val="000000" w:themeColor="text1"/>
          <w:szCs w:val="24"/>
        </w:rPr>
        <w:t>Nat. Plants</w:t>
      </w:r>
      <w:r w:rsidRPr="008E0C1D">
        <w:rPr>
          <w:noProof/>
          <w:color w:val="000000" w:themeColor="text1"/>
          <w:szCs w:val="24"/>
        </w:rPr>
        <w:t xml:space="preserve">. </w:t>
      </w:r>
      <w:r w:rsidRPr="008E0C1D">
        <w:rPr>
          <w:b/>
          <w:bCs/>
          <w:noProof/>
          <w:color w:val="000000" w:themeColor="text1"/>
          <w:szCs w:val="24"/>
        </w:rPr>
        <w:t>1</w:t>
      </w:r>
      <w:r w:rsidRPr="008E0C1D">
        <w:rPr>
          <w:noProof/>
          <w:color w:val="000000" w:themeColor="text1"/>
          <w:szCs w:val="24"/>
        </w:rPr>
        <w:t>, 1–3 (2015).</w:t>
      </w:r>
    </w:p>
    <w:p w14:paraId="44286DB2" w14:textId="77777777" w:rsidR="004428C2" w:rsidRPr="008E0C1D" w:rsidRDefault="004428C2" w:rsidP="004428C2">
      <w:pPr>
        <w:pStyle w:val="SMcaption"/>
        <w:rPr>
          <w:color w:val="000000" w:themeColor="text1"/>
        </w:rPr>
      </w:pPr>
    </w:p>
    <w:p w14:paraId="4B8E2C44" w14:textId="77777777" w:rsidR="00640A11" w:rsidRPr="008E0C1D" w:rsidRDefault="00640A11" w:rsidP="00F26AF7">
      <w:pPr>
        <w:pStyle w:val="SOMContent"/>
        <w:rPr>
          <w:rFonts w:ascii="Times" w:hAnsi="Times"/>
          <w:color w:val="000000" w:themeColor="text1"/>
        </w:rPr>
      </w:pPr>
    </w:p>
    <w:sectPr w:rsidR="00640A11" w:rsidRPr="008E0C1D" w:rsidSect="00755125">
      <w:headerReference w:type="default" r:id="rId25"/>
      <w:footerReference w:type="default" r:id="rId26"/>
      <w:headerReference w:type="first" r:id="rId27"/>
      <w:footerReference w:type="first" r:id="rId28"/>
      <w:pgSz w:w="12240" w:h="15840" w:code="1"/>
      <w:pgMar w:top="1440" w:right="1440" w:bottom="1440" w:left="1440" w:header="432" w:footer="720" w:gutter="0"/>
      <w:lnNumType w:countBy="5" w:distance="72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CFAE6F" w14:textId="77777777" w:rsidR="00FA4283" w:rsidRDefault="00FA4283" w:rsidP="00D73714">
      <w:r>
        <w:separator/>
      </w:r>
    </w:p>
  </w:endnote>
  <w:endnote w:type="continuationSeparator" w:id="0">
    <w:p w14:paraId="722D7B2D" w14:textId="77777777" w:rsidR="00FA4283" w:rsidRDefault="00FA4283" w:rsidP="00D73714">
      <w:r>
        <w:continuationSeparator/>
      </w:r>
    </w:p>
  </w:endnote>
  <w:endnote w:type="continuationNotice" w:id="1">
    <w:p w14:paraId="5A7FF494" w14:textId="77777777" w:rsidR="00FA4283" w:rsidRDefault="00FA42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altName w:val="Segoe UI"/>
    <w:panose1 w:val="020B0600040502020204"/>
    <w:charset w:val="00"/>
    <w:family w:val="swiss"/>
    <w:pitch w:val="variable"/>
    <w:sig w:usb0="E1000AEF" w:usb1="5000A1FF" w:usb2="00000000" w:usb3="00000000" w:csb0="000001BF" w:csb1="00000000"/>
  </w:font>
  <w:font w:name="Courier New">
    <w:panose1 w:val="02070309020205020404"/>
    <w:charset w:val="00"/>
    <w:family w:val="modern"/>
    <w:pitch w:val="fixed"/>
    <w:sig w:usb0="E0002AFF" w:usb1="C0007843" w:usb2="00000009" w:usb3="00000000" w:csb0="000001FF" w:csb1="00000000"/>
  </w:font>
  <w:font w:name="Consolas">
    <w:panose1 w:val="020B0609020204030204"/>
    <w:charset w:val="00"/>
    <w:family w:val="modern"/>
    <w:pitch w:val="fixed"/>
    <w:sig w:usb0="E10006FF" w:usb1="4000FCFF" w:usb2="00000009" w:usb3="00000000" w:csb0="0000019F" w:csb1="00000000"/>
  </w:font>
  <w:font w:name="BlissRegular">
    <w:altName w:val="Cambria"/>
    <w:panose1 w:val="020B0604020202020204"/>
    <w:charset w:val="00"/>
    <w:family w:val="roman"/>
    <w:notTrueType/>
    <w:pitch w:val="variable"/>
    <w:sig w:usb0="00000003" w:usb1="00000000" w:usb2="00000000" w:usb3="00000000" w:csb0="00000001" w:csb1="00000000"/>
  </w:font>
  <w:font w:name="BlissMedium">
    <w:altName w:val="Cambria"/>
    <w:panose1 w:val="020B0604020202020204"/>
    <w:charset w:val="00"/>
    <w:family w:val="roman"/>
    <w:notTrueType/>
    <w:pitch w:val="variable"/>
    <w:sig w:usb0="00000003" w:usb1="00000000" w:usb2="00000000" w:usb3="00000000" w:csb0="00000001" w:csb1="00000000"/>
  </w:font>
  <w:font w:name="BlissBold">
    <w:panose1 w:val="020B0604020202020204"/>
    <w:charset w:val="00"/>
    <w:family w:val="roman"/>
    <w:notTrueType/>
    <w:pitch w:val="variable"/>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42896" w14:textId="4CB2FEC0" w:rsidR="00615848" w:rsidRDefault="00615848">
    <w:pPr>
      <w:pStyle w:val="Fuzeile"/>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4</w:t>
    </w:r>
    <w:r>
      <w:rPr>
        <w:caps/>
        <w:noProof/>
        <w:color w:val="4F81BD" w:themeColor="accent1"/>
      </w:rPr>
      <w:fldChar w:fldCharType="end"/>
    </w:r>
  </w:p>
  <w:p w14:paraId="4435F476" w14:textId="77777777" w:rsidR="00615848" w:rsidRDefault="0061584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52A9B8" w14:textId="4AEB110C" w:rsidR="00615848" w:rsidRDefault="00615848">
    <w:pPr>
      <w:pStyle w:val="Fuzeile"/>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1</w:t>
    </w:r>
    <w:r>
      <w:rPr>
        <w:caps/>
        <w:noProof/>
        <w:color w:val="4F81BD" w:themeColor="accent1"/>
      </w:rPr>
      <w:fldChar w:fldCharType="end"/>
    </w:r>
  </w:p>
  <w:p w14:paraId="5D45F473" w14:textId="77777777" w:rsidR="00615848" w:rsidRDefault="0061584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4DF887" w14:textId="77777777" w:rsidR="00FA4283" w:rsidRDefault="00FA4283" w:rsidP="00D73714">
      <w:r>
        <w:separator/>
      </w:r>
    </w:p>
  </w:footnote>
  <w:footnote w:type="continuationSeparator" w:id="0">
    <w:p w14:paraId="4B2CE3C1" w14:textId="77777777" w:rsidR="00FA4283" w:rsidRDefault="00FA4283" w:rsidP="00D73714">
      <w:r>
        <w:continuationSeparator/>
      </w:r>
    </w:p>
  </w:footnote>
  <w:footnote w:type="continuationNotice" w:id="1">
    <w:p w14:paraId="35541896" w14:textId="77777777" w:rsidR="00FA4283" w:rsidRDefault="00FA4283"/>
  </w:footnote>
  <w:footnote w:id="2">
    <w:p w14:paraId="77863F30" w14:textId="77777777" w:rsidR="004428C2" w:rsidRPr="00FB6B7D" w:rsidRDefault="004428C2" w:rsidP="004428C2">
      <w:pPr>
        <w:pStyle w:val="Funotentext"/>
      </w:pPr>
      <w:r>
        <w:rPr>
          <w:rStyle w:val="Funotenzeichen"/>
        </w:rPr>
        <w:footnoteRef/>
      </w:r>
      <w:r>
        <w:t xml:space="preserve"> </w:t>
      </w:r>
      <w:hyperlink r:id="rId1" w:history="1">
        <w:r w:rsidRPr="00923987">
          <w:rPr>
            <w:rStyle w:val="Hyperlink"/>
          </w:rPr>
          <w:t>www.</w:t>
        </w:r>
        <w:r w:rsidRPr="00923987">
          <w:rPr>
            <w:rStyle w:val="Hyperlink"/>
            <w:szCs w:val="24"/>
          </w:rPr>
          <w:t>naturalearthdata.com</w:t>
        </w:r>
      </w:hyperlink>
      <w:r>
        <w:rPr>
          <w:color w:val="FF0000"/>
          <w:szCs w:val="24"/>
        </w:rPr>
        <w:t>, last accessed 18</w:t>
      </w:r>
      <w:r w:rsidRPr="00FB6B7D">
        <w:rPr>
          <w:color w:val="FF0000"/>
          <w:szCs w:val="24"/>
          <w:vertAlign w:val="superscript"/>
        </w:rPr>
        <w:t>th</w:t>
      </w:r>
      <w:r>
        <w:rPr>
          <w:color w:val="FF0000"/>
          <w:szCs w:val="24"/>
        </w:rPr>
        <w:t xml:space="preserve"> February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E22BD" w14:textId="5DB9194B" w:rsidR="00615848" w:rsidRDefault="00615848" w:rsidP="00755125">
    <w:pPr>
      <w:pStyle w:val="Kopfzeile"/>
      <w:tabs>
        <w:tab w:val="clear" w:pos="4320"/>
        <w:tab w:val="clear" w:pos="8640"/>
        <w:tab w:val="left" w:pos="3240"/>
      </w:tabs>
      <w:ind w:firstLine="2340"/>
    </w:pPr>
    <w:r>
      <w:rPr>
        <w:noProof/>
      </w:rPr>
      <w:drawing>
        <wp:anchor distT="0" distB="0" distL="114300" distR="114300" simplePos="0" relativeHeight="251664896" behindDoc="1" locked="0" layoutInCell="1" allowOverlap="1" wp14:anchorId="02ED9E9E" wp14:editId="542AAF12">
          <wp:simplePos x="0" y="0"/>
          <wp:positionH relativeFrom="margin">
            <wp:posOffset>-416721</wp:posOffset>
          </wp:positionH>
          <wp:positionV relativeFrom="paragraph">
            <wp:posOffset>-15562</wp:posOffset>
          </wp:positionV>
          <wp:extent cx="825500" cy="360680"/>
          <wp:effectExtent l="0" t="0" r="0" b="127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ience-AAAS-stacked-color.jpg"/>
                  <pic:cNvPicPr/>
                </pic:nvPicPr>
                <pic:blipFill>
                  <a:blip r:embed="rId1"/>
                  <a:stretch>
                    <a:fillRect/>
                  </a:stretch>
                </pic:blipFill>
                <pic:spPr>
                  <a:xfrm>
                    <a:off x="0" y="0"/>
                    <a:ext cx="825500" cy="360680"/>
                  </a:xfrm>
                  <a:prstGeom prst="rect">
                    <a:avLst/>
                  </a:prstGeom>
                </pic:spPr>
              </pic:pic>
            </a:graphicData>
          </a:graphic>
          <wp14:sizeRelH relativeFrom="page">
            <wp14:pctWidth>0</wp14:pctWidth>
          </wp14:sizeRelH>
          <wp14:sizeRelV relativeFrom="page">
            <wp14:pctHeight>0</wp14:pctHeight>
          </wp14:sizeRelV>
        </wp:anchor>
      </w:drawing>
    </w:r>
    <w:r w:rsidRPr="00204015">
      <w:t>S</w:t>
    </w:r>
    <w:r>
      <w:t xml:space="preserve">ubmitted Manuscript: </w:t>
    </w:r>
    <w:r w:rsidRPr="00204015">
      <w:t>Confidential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7F5B3" w14:textId="482E2676" w:rsidR="00615848" w:rsidRPr="00204015" w:rsidRDefault="00615848" w:rsidP="00D73714">
    <w:pPr>
      <w:pStyle w:val="Kopfzeile"/>
    </w:pPr>
    <w:r>
      <w:rPr>
        <w:noProof/>
      </w:rPr>
      <w:drawing>
        <wp:anchor distT="0" distB="0" distL="114300" distR="114300" simplePos="0" relativeHeight="251663872" behindDoc="1" locked="0" layoutInCell="1" allowOverlap="1" wp14:anchorId="5C67786B" wp14:editId="72EBED97">
          <wp:simplePos x="0" y="0"/>
          <wp:positionH relativeFrom="margin">
            <wp:align>left</wp:align>
          </wp:positionH>
          <wp:positionV relativeFrom="paragraph">
            <wp:posOffset>5288</wp:posOffset>
          </wp:positionV>
          <wp:extent cx="1045029" cy="457200"/>
          <wp:effectExtent l="0" t="0" r="3175" b="0"/>
          <wp:wrapTight wrapText="bothSides">
            <wp:wrapPolygon edited="0">
              <wp:start x="0" y="0"/>
              <wp:lineTo x="0" y="20700"/>
              <wp:lineTo x="21272" y="20700"/>
              <wp:lineTo x="21272"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ience-AAAS-stacked-color.jpg"/>
                  <pic:cNvPicPr/>
                </pic:nvPicPr>
                <pic:blipFill>
                  <a:blip r:embed="rId1"/>
                  <a:stretch>
                    <a:fillRect/>
                  </a:stretch>
                </pic:blipFill>
                <pic:spPr>
                  <a:xfrm>
                    <a:off x="0" y="0"/>
                    <a:ext cx="1045029" cy="457200"/>
                  </a:xfrm>
                  <a:prstGeom prst="rect">
                    <a:avLst/>
                  </a:prstGeom>
                </pic:spPr>
              </pic:pic>
            </a:graphicData>
          </a:graphic>
          <wp14:sizeRelH relativeFrom="page">
            <wp14:pctWidth>0</wp14:pctWidth>
          </wp14:sizeRelH>
          <wp14:sizeRelV relativeFrom="page">
            <wp14:pctHeight>0</wp14:pctHeight>
          </wp14:sizeRelV>
        </wp:anchor>
      </w:drawing>
    </w:r>
    <w:r>
      <w:tab/>
    </w:r>
    <w:r w:rsidRPr="00204015">
      <w:t>Submitted Manuscript: Confidential</w:t>
    </w:r>
    <w:r>
      <w:tab/>
    </w:r>
  </w:p>
  <w:p w14:paraId="39D9CEFC" w14:textId="15DB7D42" w:rsidR="00615848" w:rsidRDefault="00615848" w:rsidP="00D7371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8306B6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12C0A9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FF8797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7B8AB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8FC955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C76FFC4"/>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C34C55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C068088"/>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50088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C8A39C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0"/>
  <w:stylePaneFormatFilter w:val="3704" w:allStyles="0" w:customStyles="0" w:latentStyles="1" w:stylesInUse="0" w:headingStyles="0" w:numberingStyles="0" w:tableStyles="0" w:directFormattingOnRuns="1" w:directFormattingOnParagraphs="1" w:directFormattingOnNumbering="1" w:directFormattingOnTables="0" w:clearFormatting="1" w:top3HeadingStyles="1"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261D"/>
    <w:rsid w:val="000205A9"/>
    <w:rsid w:val="00026FDD"/>
    <w:rsid w:val="00051C63"/>
    <w:rsid w:val="000562CC"/>
    <w:rsid w:val="000630C1"/>
    <w:rsid w:val="00071285"/>
    <w:rsid w:val="00077272"/>
    <w:rsid w:val="00084372"/>
    <w:rsid w:val="00087D7D"/>
    <w:rsid w:val="00095099"/>
    <w:rsid w:val="000B41AE"/>
    <w:rsid w:val="000B4BC9"/>
    <w:rsid w:val="000B66D3"/>
    <w:rsid w:val="000C460C"/>
    <w:rsid w:val="000C7F0C"/>
    <w:rsid w:val="000E6DFE"/>
    <w:rsid w:val="00111899"/>
    <w:rsid w:val="00114EDC"/>
    <w:rsid w:val="00122855"/>
    <w:rsid w:val="001331D7"/>
    <w:rsid w:val="00134394"/>
    <w:rsid w:val="00134AE3"/>
    <w:rsid w:val="00144FFB"/>
    <w:rsid w:val="00150375"/>
    <w:rsid w:val="001539D1"/>
    <w:rsid w:val="0015549E"/>
    <w:rsid w:val="00160932"/>
    <w:rsid w:val="00167ADB"/>
    <w:rsid w:val="001775FA"/>
    <w:rsid w:val="00181B33"/>
    <w:rsid w:val="00184907"/>
    <w:rsid w:val="00192AC2"/>
    <w:rsid w:val="001B66AA"/>
    <w:rsid w:val="001C3BB7"/>
    <w:rsid w:val="001C67A6"/>
    <w:rsid w:val="001D4C6A"/>
    <w:rsid w:val="001E6166"/>
    <w:rsid w:val="001F5ABD"/>
    <w:rsid w:val="002053AF"/>
    <w:rsid w:val="002162C8"/>
    <w:rsid w:val="00230D22"/>
    <w:rsid w:val="0023292E"/>
    <w:rsid w:val="00236F8D"/>
    <w:rsid w:val="002463E1"/>
    <w:rsid w:val="002475FA"/>
    <w:rsid w:val="00261423"/>
    <w:rsid w:val="00270F47"/>
    <w:rsid w:val="0027172E"/>
    <w:rsid w:val="00282C27"/>
    <w:rsid w:val="0028627E"/>
    <w:rsid w:val="00290551"/>
    <w:rsid w:val="0029404C"/>
    <w:rsid w:val="002A33F6"/>
    <w:rsid w:val="002B4BE9"/>
    <w:rsid w:val="002C33B8"/>
    <w:rsid w:val="002D3D44"/>
    <w:rsid w:val="002E5C7C"/>
    <w:rsid w:val="002E60B9"/>
    <w:rsid w:val="002F07DC"/>
    <w:rsid w:val="002F5512"/>
    <w:rsid w:val="002F77D2"/>
    <w:rsid w:val="00307F53"/>
    <w:rsid w:val="003225AE"/>
    <w:rsid w:val="00343018"/>
    <w:rsid w:val="003636B1"/>
    <w:rsid w:val="00363BFA"/>
    <w:rsid w:val="00370430"/>
    <w:rsid w:val="00373C30"/>
    <w:rsid w:val="00382749"/>
    <w:rsid w:val="0039762F"/>
    <w:rsid w:val="003A5EB7"/>
    <w:rsid w:val="003A77E5"/>
    <w:rsid w:val="003B0531"/>
    <w:rsid w:val="003B0E92"/>
    <w:rsid w:val="003B66E4"/>
    <w:rsid w:val="003C1C49"/>
    <w:rsid w:val="003E2BE6"/>
    <w:rsid w:val="00420669"/>
    <w:rsid w:val="004326C0"/>
    <w:rsid w:val="00434FCD"/>
    <w:rsid w:val="004428C2"/>
    <w:rsid w:val="00447EB3"/>
    <w:rsid w:val="004549C6"/>
    <w:rsid w:val="00465123"/>
    <w:rsid w:val="004876B9"/>
    <w:rsid w:val="00496F30"/>
    <w:rsid w:val="004A6199"/>
    <w:rsid w:val="004A67D2"/>
    <w:rsid w:val="004B4F4B"/>
    <w:rsid w:val="004C0681"/>
    <w:rsid w:val="004D10EA"/>
    <w:rsid w:val="005117D7"/>
    <w:rsid w:val="00523C31"/>
    <w:rsid w:val="00523C56"/>
    <w:rsid w:val="00535758"/>
    <w:rsid w:val="00546834"/>
    <w:rsid w:val="00560CF5"/>
    <w:rsid w:val="00571D61"/>
    <w:rsid w:val="00572498"/>
    <w:rsid w:val="00572B71"/>
    <w:rsid w:val="00575375"/>
    <w:rsid w:val="00576E95"/>
    <w:rsid w:val="00583CCA"/>
    <w:rsid w:val="005A1FAF"/>
    <w:rsid w:val="005B3728"/>
    <w:rsid w:val="005B4563"/>
    <w:rsid w:val="005C7805"/>
    <w:rsid w:val="005E2AEA"/>
    <w:rsid w:val="005E53E9"/>
    <w:rsid w:val="005F0A59"/>
    <w:rsid w:val="00605D80"/>
    <w:rsid w:val="00610494"/>
    <w:rsid w:val="00612957"/>
    <w:rsid w:val="00615848"/>
    <w:rsid w:val="006221B7"/>
    <w:rsid w:val="00640A11"/>
    <w:rsid w:val="0064261D"/>
    <w:rsid w:val="006438D6"/>
    <w:rsid w:val="006455DA"/>
    <w:rsid w:val="006612EC"/>
    <w:rsid w:val="0068050B"/>
    <w:rsid w:val="00693F96"/>
    <w:rsid w:val="00694434"/>
    <w:rsid w:val="006A2645"/>
    <w:rsid w:val="006A7883"/>
    <w:rsid w:val="006D6FB5"/>
    <w:rsid w:val="006E3E8F"/>
    <w:rsid w:val="006E590E"/>
    <w:rsid w:val="006F2B88"/>
    <w:rsid w:val="006F2BEC"/>
    <w:rsid w:val="006F300A"/>
    <w:rsid w:val="00705E1D"/>
    <w:rsid w:val="007161A3"/>
    <w:rsid w:val="0071710C"/>
    <w:rsid w:val="00725038"/>
    <w:rsid w:val="00727CB8"/>
    <w:rsid w:val="00741095"/>
    <w:rsid w:val="00742782"/>
    <w:rsid w:val="00754D4A"/>
    <w:rsid w:val="00755125"/>
    <w:rsid w:val="00775562"/>
    <w:rsid w:val="00793A21"/>
    <w:rsid w:val="007C17A3"/>
    <w:rsid w:val="007C4FDD"/>
    <w:rsid w:val="007C6679"/>
    <w:rsid w:val="007D0C14"/>
    <w:rsid w:val="007D14F3"/>
    <w:rsid w:val="007D733F"/>
    <w:rsid w:val="007E0738"/>
    <w:rsid w:val="007E121C"/>
    <w:rsid w:val="007E2FCB"/>
    <w:rsid w:val="007F20A8"/>
    <w:rsid w:val="007F41B6"/>
    <w:rsid w:val="008355F1"/>
    <w:rsid w:val="00845C03"/>
    <w:rsid w:val="0086656C"/>
    <w:rsid w:val="0088133E"/>
    <w:rsid w:val="00883B0C"/>
    <w:rsid w:val="008C71B0"/>
    <w:rsid w:val="008E0C1D"/>
    <w:rsid w:val="008E493B"/>
    <w:rsid w:val="008E5E6B"/>
    <w:rsid w:val="008F2274"/>
    <w:rsid w:val="008F6601"/>
    <w:rsid w:val="00910C36"/>
    <w:rsid w:val="009245D9"/>
    <w:rsid w:val="00942EB0"/>
    <w:rsid w:val="00953BF9"/>
    <w:rsid w:val="00971399"/>
    <w:rsid w:val="009719B2"/>
    <w:rsid w:val="00972F22"/>
    <w:rsid w:val="00977587"/>
    <w:rsid w:val="009B3FFE"/>
    <w:rsid w:val="009B5D93"/>
    <w:rsid w:val="009C2EDD"/>
    <w:rsid w:val="009D2212"/>
    <w:rsid w:val="009D7127"/>
    <w:rsid w:val="009E0D81"/>
    <w:rsid w:val="009F2B56"/>
    <w:rsid w:val="00A01DF0"/>
    <w:rsid w:val="00A05456"/>
    <w:rsid w:val="00A153D6"/>
    <w:rsid w:val="00A169B9"/>
    <w:rsid w:val="00A1748D"/>
    <w:rsid w:val="00A231E5"/>
    <w:rsid w:val="00A23CD5"/>
    <w:rsid w:val="00A247D0"/>
    <w:rsid w:val="00A51678"/>
    <w:rsid w:val="00A64731"/>
    <w:rsid w:val="00A94C91"/>
    <w:rsid w:val="00AC61B6"/>
    <w:rsid w:val="00AE0D6D"/>
    <w:rsid w:val="00AE5895"/>
    <w:rsid w:val="00AF2274"/>
    <w:rsid w:val="00AF2A10"/>
    <w:rsid w:val="00B303E9"/>
    <w:rsid w:val="00B40F6D"/>
    <w:rsid w:val="00B422F9"/>
    <w:rsid w:val="00B47D0E"/>
    <w:rsid w:val="00B523CE"/>
    <w:rsid w:val="00B85688"/>
    <w:rsid w:val="00BA293B"/>
    <w:rsid w:val="00BB150A"/>
    <w:rsid w:val="00BB7E85"/>
    <w:rsid w:val="00BC6A9B"/>
    <w:rsid w:val="00BD1667"/>
    <w:rsid w:val="00BF155A"/>
    <w:rsid w:val="00BF1D60"/>
    <w:rsid w:val="00BF4BEF"/>
    <w:rsid w:val="00C11C5D"/>
    <w:rsid w:val="00C13940"/>
    <w:rsid w:val="00C16955"/>
    <w:rsid w:val="00C62125"/>
    <w:rsid w:val="00C6517F"/>
    <w:rsid w:val="00C761F3"/>
    <w:rsid w:val="00C86E03"/>
    <w:rsid w:val="00C874BD"/>
    <w:rsid w:val="00CB494E"/>
    <w:rsid w:val="00CC2657"/>
    <w:rsid w:val="00CD2CFC"/>
    <w:rsid w:val="00D16406"/>
    <w:rsid w:val="00D47412"/>
    <w:rsid w:val="00D60841"/>
    <w:rsid w:val="00D61494"/>
    <w:rsid w:val="00D72CB3"/>
    <w:rsid w:val="00D73714"/>
    <w:rsid w:val="00D83D9D"/>
    <w:rsid w:val="00DC0680"/>
    <w:rsid w:val="00DC5F4D"/>
    <w:rsid w:val="00DD1A8A"/>
    <w:rsid w:val="00DD225C"/>
    <w:rsid w:val="00DE28BD"/>
    <w:rsid w:val="00DE7047"/>
    <w:rsid w:val="00E0133A"/>
    <w:rsid w:val="00E0440F"/>
    <w:rsid w:val="00E05FE2"/>
    <w:rsid w:val="00E263D3"/>
    <w:rsid w:val="00E32B5B"/>
    <w:rsid w:val="00E34579"/>
    <w:rsid w:val="00E37C62"/>
    <w:rsid w:val="00E40FFE"/>
    <w:rsid w:val="00E41D37"/>
    <w:rsid w:val="00E5502D"/>
    <w:rsid w:val="00E676CC"/>
    <w:rsid w:val="00E72365"/>
    <w:rsid w:val="00E729CD"/>
    <w:rsid w:val="00E737F7"/>
    <w:rsid w:val="00E76B37"/>
    <w:rsid w:val="00EA24AA"/>
    <w:rsid w:val="00EB75C2"/>
    <w:rsid w:val="00EC4BB6"/>
    <w:rsid w:val="00EC5A91"/>
    <w:rsid w:val="00ED410A"/>
    <w:rsid w:val="00ED4D2D"/>
    <w:rsid w:val="00EE1D99"/>
    <w:rsid w:val="00EE5227"/>
    <w:rsid w:val="00EE6929"/>
    <w:rsid w:val="00EF69D9"/>
    <w:rsid w:val="00F15B30"/>
    <w:rsid w:val="00F24878"/>
    <w:rsid w:val="00F26AF7"/>
    <w:rsid w:val="00F44B6F"/>
    <w:rsid w:val="00F47640"/>
    <w:rsid w:val="00F648CB"/>
    <w:rsid w:val="00F739FD"/>
    <w:rsid w:val="00F77E0E"/>
    <w:rsid w:val="00F806D3"/>
    <w:rsid w:val="00FA3150"/>
    <w:rsid w:val="00FA4283"/>
    <w:rsid w:val="00FB3F4D"/>
    <w:rsid w:val="00FC2F05"/>
    <w:rsid w:val="00FD48F1"/>
    <w:rsid w:val="00FD546E"/>
    <w:rsid w:val="00FE05FF"/>
    <w:rsid w:val="00FE4264"/>
    <w:rsid w:val="00FF1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2DF832"/>
  <w15:docId w15:val="{40C478E8-9839-4A94-9CD0-F2813CAF5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A7F20"/>
  </w:style>
  <w:style w:type="paragraph" w:styleId="berschrift1">
    <w:name w:val="heading 1"/>
    <w:basedOn w:val="Standard"/>
    <w:next w:val="Standard"/>
    <w:link w:val="berschrift1Zchn"/>
    <w:uiPriority w:val="9"/>
    <w:qFormat/>
    <w:rsid w:val="004428C2"/>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aseText">
    <w:name w:val="Base_Text"/>
    <w:rsid w:val="009A3899"/>
    <w:pPr>
      <w:spacing w:before="120"/>
    </w:pPr>
    <w:rPr>
      <w:rFonts w:eastAsia="Times New Roman"/>
      <w:sz w:val="24"/>
      <w:szCs w:val="24"/>
    </w:rPr>
  </w:style>
  <w:style w:type="paragraph" w:customStyle="1" w:styleId="1stparatext">
    <w:name w:val="1st para text"/>
    <w:basedOn w:val="BaseText"/>
    <w:rsid w:val="009A3899"/>
  </w:style>
  <w:style w:type="paragraph" w:customStyle="1" w:styleId="BaseHeading">
    <w:name w:val="Base_Heading"/>
    <w:rsid w:val="009A3899"/>
    <w:pPr>
      <w:keepNext/>
      <w:spacing w:before="240"/>
      <w:outlineLvl w:val="0"/>
    </w:pPr>
    <w:rPr>
      <w:rFonts w:eastAsia="Times New Roman"/>
      <w:kern w:val="28"/>
      <w:sz w:val="28"/>
      <w:szCs w:val="28"/>
    </w:rPr>
  </w:style>
  <w:style w:type="paragraph" w:customStyle="1" w:styleId="AbstractHead">
    <w:name w:val="Abstract Head"/>
    <w:basedOn w:val="BaseHeading"/>
    <w:rsid w:val="009A3899"/>
  </w:style>
  <w:style w:type="paragraph" w:customStyle="1" w:styleId="AbstractSummary">
    <w:name w:val="Abstract/Summary"/>
    <w:basedOn w:val="BaseText"/>
    <w:rsid w:val="009A3899"/>
  </w:style>
  <w:style w:type="paragraph" w:customStyle="1" w:styleId="Referencesandnotes">
    <w:name w:val="References and notes"/>
    <w:basedOn w:val="BaseText"/>
    <w:rsid w:val="009A3899"/>
    <w:pPr>
      <w:ind w:left="720" w:hanging="720"/>
    </w:pPr>
  </w:style>
  <w:style w:type="paragraph" w:customStyle="1" w:styleId="Acknowledgement">
    <w:name w:val="Acknowledgement"/>
    <w:basedOn w:val="Referencesandnotes"/>
    <w:rsid w:val="009A3899"/>
  </w:style>
  <w:style w:type="paragraph" w:customStyle="1" w:styleId="Subhead">
    <w:name w:val="Subhead"/>
    <w:basedOn w:val="BaseHeading"/>
    <w:rsid w:val="009A3899"/>
    <w:rPr>
      <w:b/>
      <w:bCs/>
      <w:sz w:val="24"/>
      <w:szCs w:val="24"/>
    </w:rPr>
  </w:style>
  <w:style w:type="paragraph" w:customStyle="1" w:styleId="AppendixHead">
    <w:name w:val="AppendixHead"/>
    <w:basedOn w:val="Subhead"/>
    <w:rsid w:val="009A3899"/>
  </w:style>
  <w:style w:type="paragraph" w:customStyle="1" w:styleId="AppendixSubhead">
    <w:name w:val="AppendixSubhead"/>
    <w:basedOn w:val="Subhead"/>
    <w:rsid w:val="009A3899"/>
  </w:style>
  <w:style w:type="paragraph" w:customStyle="1" w:styleId="Articletype">
    <w:name w:val="Article type"/>
    <w:basedOn w:val="BaseText"/>
    <w:rsid w:val="009A3899"/>
  </w:style>
  <w:style w:type="character" w:customStyle="1" w:styleId="aubase">
    <w:name w:val="au_base"/>
    <w:rsid w:val="009A3899"/>
    <w:rPr>
      <w:sz w:val="24"/>
    </w:rPr>
  </w:style>
  <w:style w:type="character" w:customStyle="1" w:styleId="aucollab">
    <w:name w:val="au_collab"/>
    <w:basedOn w:val="aubase"/>
    <w:rsid w:val="009A3899"/>
    <w:rPr>
      <w:sz w:val="24"/>
      <w:bdr w:val="none" w:sz="0" w:space="0" w:color="auto"/>
      <w:shd w:val="clear" w:color="auto" w:fill="C0C0C0"/>
    </w:rPr>
  </w:style>
  <w:style w:type="character" w:customStyle="1" w:styleId="audeg">
    <w:name w:val="au_deg"/>
    <w:basedOn w:val="Absatz-Standardschriftart"/>
    <w:rsid w:val="009A3899"/>
    <w:rPr>
      <w:sz w:val="24"/>
      <w:bdr w:val="none" w:sz="0" w:space="0" w:color="auto"/>
      <w:shd w:val="clear" w:color="auto" w:fill="FFFF00"/>
    </w:rPr>
  </w:style>
  <w:style w:type="character" w:customStyle="1" w:styleId="aufname">
    <w:name w:val="au_fname"/>
    <w:basedOn w:val="aubase"/>
    <w:rsid w:val="009A3899"/>
    <w:rPr>
      <w:sz w:val="24"/>
      <w:bdr w:val="none" w:sz="0" w:space="0" w:color="auto"/>
      <w:shd w:val="clear" w:color="auto" w:fill="00FFFF"/>
    </w:rPr>
  </w:style>
  <w:style w:type="character" w:customStyle="1" w:styleId="aurole">
    <w:name w:val="au_role"/>
    <w:basedOn w:val="aubase"/>
    <w:rsid w:val="009A3899"/>
    <w:rPr>
      <w:sz w:val="24"/>
      <w:bdr w:val="none" w:sz="0" w:space="0" w:color="auto"/>
      <w:shd w:val="clear" w:color="auto" w:fill="808000"/>
    </w:rPr>
  </w:style>
  <w:style w:type="character" w:customStyle="1" w:styleId="ausuffix">
    <w:name w:val="au_suffix"/>
    <w:basedOn w:val="aubase"/>
    <w:rsid w:val="009A3899"/>
    <w:rPr>
      <w:sz w:val="24"/>
      <w:bdr w:val="none" w:sz="0" w:space="0" w:color="auto"/>
      <w:shd w:val="clear" w:color="auto" w:fill="FF00FF"/>
    </w:rPr>
  </w:style>
  <w:style w:type="character" w:customStyle="1" w:styleId="ausurname">
    <w:name w:val="au_surname"/>
    <w:basedOn w:val="aubase"/>
    <w:rsid w:val="009A3899"/>
    <w:rPr>
      <w:sz w:val="24"/>
      <w:bdr w:val="none" w:sz="0" w:space="0" w:color="auto"/>
      <w:shd w:val="clear" w:color="auto" w:fill="00FF00"/>
    </w:rPr>
  </w:style>
  <w:style w:type="paragraph" w:customStyle="1" w:styleId="AuthorAttribute">
    <w:name w:val="Author Attribute"/>
    <w:basedOn w:val="BaseText"/>
    <w:rsid w:val="009A3899"/>
    <w:pPr>
      <w:spacing w:before="480"/>
    </w:pPr>
  </w:style>
  <w:style w:type="paragraph" w:customStyle="1" w:styleId="Footnote">
    <w:name w:val="Footnote"/>
    <w:basedOn w:val="BaseText"/>
    <w:rsid w:val="009A3899"/>
  </w:style>
  <w:style w:type="paragraph" w:customStyle="1" w:styleId="AuthorFootnote">
    <w:name w:val="AuthorFootnote"/>
    <w:basedOn w:val="Footnote"/>
    <w:rsid w:val="009A3899"/>
    <w:pPr>
      <w:autoSpaceDE w:val="0"/>
      <w:autoSpaceDN w:val="0"/>
      <w:adjustRightInd w:val="0"/>
    </w:pPr>
    <w:rPr>
      <w:lang w:bidi="he-IL"/>
    </w:rPr>
  </w:style>
  <w:style w:type="paragraph" w:customStyle="1" w:styleId="Authors">
    <w:name w:val="Authors"/>
    <w:basedOn w:val="BaseText"/>
    <w:rsid w:val="009A3899"/>
    <w:pPr>
      <w:spacing w:after="360"/>
      <w:jc w:val="center"/>
    </w:pPr>
  </w:style>
  <w:style w:type="paragraph" w:styleId="Sprechblasentext">
    <w:name w:val="Balloon Text"/>
    <w:basedOn w:val="Standard"/>
    <w:link w:val="SprechblasentextZchn"/>
    <w:semiHidden/>
    <w:rsid w:val="009A3899"/>
    <w:rPr>
      <w:rFonts w:ascii="Lucida Grande" w:eastAsia="Times New Roman" w:hAnsi="Lucida Grande"/>
      <w:sz w:val="18"/>
      <w:szCs w:val="18"/>
    </w:rPr>
  </w:style>
  <w:style w:type="character" w:customStyle="1" w:styleId="SprechblasentextZchn">
    <w:name w:val="Sprechblasentext Zchn"/>
    <w:basedOn w:val="Absatz-Standardschriftart"/>
    <w:link w:val="Sprechblasentext"/>
    <w:semiHidden/>
    <w:rsid w:val="009A3899"/>
    <w:rPr>
      <w:rFonts w:ascii="Lucida Grande" w:eastAsia="Times New Roman" w:hAnsi="Lucida Grande"/>
      <w:sz w:val="18"/>
      <w:szCs w:val="18"/>
    </w:rPr>
  </w:style>
  <w:style w:type="character" w:customStyle="1" w:styleId="bibarticle">
    <w:name w:val="bib_article"/>
    <w:basedOn w:val="Absatz-Standardschriftart"/>
    <w:rsid w:val="009A3899"/>
    <w:rPr>
      <w:sz w:val="24"/>
      <w:bdr w:val="none" w:sz="0" w:space="0" w:color="auto"/>
      <w:shd w:val="clear" w:color="auto" w:fill="00FFFF"/>
    </w:rPr>
  </w:style>
  <w:style w:type="character" w:customStyle="1" w:styleId="bibbase">
    <w:name w:val="bib_base"/>
    <w:rsid w:val="009A3899"/>
    <w:rPr>
      <w:sz w:val="24"/>
    </w:rPr>
  </w:style>
  <w:style w:type="character" w:customStyle="1" w:styleId="bibcomment">
    <w:name w:val="bib_comment"/>
    <w:basedOn w:val="bibbase"/>
    <w:rsid w:val="009A3899"/>
    <w:rPr>
      <w:sz w:val="24"/>
    </w:rPr>
  </w:style>
  <w:style w:type="character" w:customStyle="1" w:styleId="bibdeg">
    <w:name w:val="bib_deg"/>
    <w:basedOn w:val="bibbase"/>
    <w:rsid w:val="009A3899"/>
    <w:rPr>
      <w:sz w:val="24"/>
    </w:rPr>
  </w:style>
  <w:style w:type="character" w:customStyle="1" w:styleId="bibdoi">
    <w:name w:val="bib_doi"/>
    <w:basedOn w:val="bibbase"/>
    <w:rsid w:val="009A3899"/>
    <w:rPr>
      <w:sz w:val="24"/>
      <w:bdr w:val="none" w:sz="0" w:space="0" w:color="auto"/>
      <w:shd w:val="clear" w:color="auto" w:fill="00FF00"/>
    </w:rPr>
  </w:style>
  <w:style w:type="character" w:customStyle="1" w:styleId="bibetal">
    <w:name w:val="bib_etal"/>
    <w:basedOn w:val="bibbase"/>
    <w:rsid w:val="009A3899"/>
    <w:rPr>
      <w:sz w:val="24"/>
      <w:bdr w:val="none" w:sz="0" w:space="0" w:color="auto"/>
      <w:shd w:val="clear" w:color="auto" w:fill="008080"/>
    </w:rPr>
  </w:style>
  <w:style w:type="character" w:customStyle="1" w:styleId="bibfname">
    <w:name w:val="bib_fname"/>
    <w:basedOn w:val="bibbase"/>
    <w:rsid w:val="009A3899"/>
    <w:rPr>
      <w:sz w:val="24"/>
      <w:bdr w:val="none" w:sz="0" w:space="0" w:color="auto"/>
      <w:shd w:val="clear" w:color="auto" w:fill="FFFF00"/>
    </w:rPr>
  </w:style>
  <w:style w:type="character" w:customStyle="1" w:styleId="bibfpage">
    <w:name w:val="bib_fpage"/>
    <w:basedOn w:val="bibbase"/>
    <w:rsid w:val="009A3899"/>
    <w:rPr>
      <w:sz w:val="24"/>
      <w:bdr w:val="none" w:sz="0" w:space="0" w:color="auto"/>
      <w:shd w:val="clear" w:color="auto" w:fill="808080"/>
    </w:rPr>
  </w:style>
  <w:style w:type="character" w:customStyle="1" w:styleId="bibissue">
    <w:name w:val="bib_issue"/>
    <w:basedOn w:val="bibbase"/>
    <w:rsid w:val="009A3899"/>
    <w:rPr>
      <w:sz w:val="24"/>
      <w:bdr w:val="none" w:sz="0" w:space="0" w:color="auto"/>
      <w:shd w:val="clear" w:color="auto" w:fill="FFFF00"/>
    </w:rPr>
  </w:style>
  <w:style w:type="character" w:customStyle="1" w:styleId="bibjournal">
    <w:name w:val="bib_journal"/>
    <w:basedOn w:val="bibbase"/>
    <w:rsid w:val="009A3899"/>
    <w:rPr>
      <w:sz w:val="24"/>
      <w:bdr w:val="none" w:sz="0" w:space="0" w:color="auto"/>
      <w:shd w:val="clear" w:color="auto" w:fill="808000"/>
    </w:rPr>
  </w:style>
  <w:style w:type="character" w:customStyle="1" w:styleId="biblpage">
    <w:name w:val="bib_lpage"/>
    <w:basedOn w:val="bibbase"/>
    <w:rsid w:val="009A3899"/>
    <w:rPr>
      <w:sz w:val="24"/>
      <w:bdr w:val="none" w:sz="0" w:space="0" w:color="auto"/>
      <w:shd w:val="clear" w:color="auto" w:fill="808080"/>
    </w:rPr>
  </w:style>
  <w:style w:type="character" w:customStyle="1" w:styleId="bibmedline">
    <w:name w:val="bib_medline"/>
    <w:basedOn w:val="bibbase"/>
    <w:rsid w:val="009A3899"/>
    <w:rPr>
      <w:sz w:val="24"/>
    </w:rPr>
  </w:style>
  <w:style w:type="character" w:customStyle="1" w:styleId="bibnumber">
    <w:name w:val="bib_number"/>
    <w:basedOn w:val="bibbase"/>
    <w:rsid w:val="009A3899"/>
    <w:rPr>
      <w:sz w:val="24"/>
    </w:rPr>
  </w:style>
  <w:style w:type="character" w:customStyle="1" w:styleId="biborganization">
    <w:name w:val="bib_organization"/>
    <w:basedOn w:val="bibbase"/>
    <w:rsid w:val="009A3899"/>
    <w:rPr>
      <w:sz w:val="24"/>
      <w:bdr w:val="none" w:sz="0" w:space="0" w:color="auto"/>
      <w:shd w:val="clear" w:color="auto" w:fill="808000"/>
    </w:rPr>
  </w:style>
  <w:style w:type="character" w:customStyle="1" w:styleId="bibsuffix">
    <w:name w:val="bib_suffix"/>
    <w:basedOn w:val="bibbase"/>
    <w:rsid w:val="009A3899"/>
    <w:rPr>
      <w:sz w:val="24"/>
    </w:rPr>
  </w:style>
  <w:style w:type="character" w:customStyle="1" w:styleId="bibsuppl">
    <w:name w:val="bib_suppl"/>
    <w:basedOn w:val="bibbase"/>
    <w:rsid w:val="009A3899"/>
    <w:rPr>
      <w:sz w:val="24"/>
      <w:bdr w:val="none" w:sz="0" w:space="0" w:color="auto"/>
      <w:shd w:val="clear" w:color="auto" w:fill="FFFF00"/>
    </w:rPr>
  </w:style>
  <w:style w:type="character" w:customStyle="1" w:styleId="bibsurname">
    <w:name w:val="bib_surname"/>
    <w:basedOn w:val="bibbase"/>
    <w:rsid w:val="009A3899"/>
    <w:rPr>
      <w:sz w:val="24"/>
      <w:bdr w:val="none" w:sz="0" w:space="0" w:color="auto"/>
      <w:shd w:val="clear" w:color="auto" w:fill="FFFF00"/>
    </w:rPr>
  </w:style>
  <w:style w:type="character" w:customStyle="1" w:styleId="bibunpubl">
    <w:name w:val="bib_unpubl"/>
    <w:basedOn w:val="bibbase"/>
    <w:rsid w:val="009A3899"/>
    <w:rPr>
      <w:sz w:val="24"/>
    </w:rPr>
  </w:style>
  <w:style w:type="character" w:customStyle="1" w:styleId="biburl">
    <w:name w:val="bib_url"/>
    <w:basedOn w:val="bibbase"/>
    <w:rsid w:val="009A3899"/>
    <w:rPr>
      <w:sz w:val="24"/>
      <w:bdr w:val="none" w:sz="0" w:space="0" w:color="auto"/>
      <w:shd w:val="clear" w:color="auto" w:fill="00FF00"/>
    </w:rPr>
  </w:style>
  <w:style w:type="character" w:customStyle="1" w:styleId="bibvolume">
    <w:name w:val="bib_volume"/>
    <w:basedOn w:val="bibbase"/>
    <w:rsid w:val="009A3899"/>
    <w:rPr>
      <w:sz w:val="24"/>
      <w:bdr w:val="none" w:sz="0" w:space="0" w:color="auto"/>
      <w:shd w:val="clear" w:color="auto" w:fill="00FF00"/>
    </w:rPr>
  </w:style>
  <w:style w:type="character" w:customStyle="1" w:styleId="bibyear">
    <w:name w:val="bib_year"/>
    <w:basedOn w:val="bibbase"/>
    <w:rsid w:val="009A3899"/>
    <w:rPr>
      <w:sz w:val="24"/>
      <w:bdr w:val="none" w:sz="0" w:space="0" w:color="auto"/>
      <w:shd w:val="clear" w:color="auto" w:fill="FF00FF"/>
    </w:rPr>
  </w:style>
  <w:style w:type="paragraph" w:customStyle="1" w:styleId="BookorMeetingInformation">
    <w:name w:val="Book or Meeting Information"/>
    <w:basedOn w:val="BaseText"/>
    <w:rsid w:val="009A3899"/>
  </w:style>
  <w:style w:type="paragraph" w:customStyle="1" w:styleId="BookInformation">
    <w:name w:val="BookInformation"/>
    <w:basedOn w:val="BaseText"/>
    <w:rsid w:val="009A3899"/>
  </w:style>
  <w:style w:type="paragraph" w:customStyle="1" w:styleId="Level2Head">
    <w:name w:val="Level 2 Head"/>
    <w:basedOn w:val="BaseHeading"/>
    <w:rsid w:val="009A3899"/>
    <w:pPr>
      <w:outlineLvl w:val="1"/>
    </w:pPr>
    <w:rPr>
      <w:i/>
      <w:iCs/>
      <w:sz w:val="24"/>
      <w:szCs w:val="24"/>
    </w:rPr>
  </w:style>
  <w:style w:type="paragraph" w:customStyle="1" w:styleId="BoxLevel2Head">
    <w:name w:val="BoxLevel 2 Head"/>
    <w:basedOn w:val="Level2Head"/>
    <w:rsid w:val="009A3899"/>
    <w:pPr>
      <w:shd w:val="clear" w:color="auto" w:fill="E6E6E6"/>
    </w:pPr>
  </w:style>
  <w:style w:type="paragraph" w:customStyle="1" w:styleId="BoxListUnnumbered">
    <w:name w:val="BoxListUnnumbered"/>
    <w:basedOn w:val="BaseText"/>
    <w:rsid w:val="009A3899"/>
    <w:pPr>
      <w:shd w:val="clear" w:color="auto" w:fill="E6E6E6"/>
      <w:ind w:left="1080" w:hanging="360"/>
    </w:pPr>
  </w:style>
  <w:style w:type="paragraph" w:customStyle="1" w:styleId="BoxList">
    <w:name w:val="BoxList"/>
    <w:basedOn w:val="BoxListUnnumbered"/>
    <w:rsid w:val="009A3899"/>
  </w:style>
  <w:style w:type="paragraph" w:customStyle="1" w:styleId="BoxSubhead">
    <w:name w:val="BoxSubhead"/>
    <w:basedOn w:val="Subhead"/>
    <w:rsid w:val="009A3899"/>
    <w:pPr>
      <w:shd w:val="clear" w:color="auto" w:fill="E6E6E6"/>
    </w:pPr>
  </w:style>
  <w:style w:type="paragraph" w:customStyle="1" w:styleId="Paragraph">
    <w:name w:val="Paragraph"/>
    <w:basedOn w:val="BaseText"/>
    <w:rsid w:val="009A3899"/>
    <w:pPr>
      <w:ind w:firstLine="720"/>
    </w:pPr>
  </w:style>
  <w:style w:type="paragraph" w:customStyle="1" w:styleId="BoxText">
    <w:name w:val="BoxText"/>
    <w:basedOn w:val="Paragraph"/>
    <w:rsid w:val="009A3899"/>
    <w:pPr>
      <w:shd w:val="clear" w:color="auto" w:fill="E6E6E6"/>
    </w:pPr>
  </w:style>
  <w:style w:type="paragraph" w:customStyle="1" w:styleId="BoxTitle">
    <w:name w:val="BoxTitle"/>
    <w:basedOn w:val="BaseHeading"/>
    <w:rsid w:val="009A3899"/>
    <w:pPr>
      <w:shd w:val="clear" w:color="auto" w:fill="E6E6E6"/>
    </w:pPr>
    <w:rPr>
      <w:b/>
      <w:sz w:val="24"/>
      <w:szCs w:val="24"/>
    </w:rPr>
  </w:style>
  <w:style w:type="paragraph" w:customStyle="1" w:styleId="BulletedText">
    <w:name w:val="Bulleted Text"/>
    <w:basedOn w:val="BaseText"/>
    <w:rsid w:val="009A3899"/>
    <w:pPr>
      <w:ind w:left="720" w:hanging="720"/>
    </w:pPr>
  </w:style>
  <w:style w:type="paragraph" w:customStyle="1" w:styleId="career-magazine">
    <w:name w:val="career-magazine"/>
    <w:basedOn w:val="BaseText"/>
    <w:rsid w:val="009A3899"/>
    <w:pPr>
      <w:jc w:val="right"/>
    </w:pPr>
    <w:rPr>
      <w:color w:val="FF0000"/>
    </w:rPr>
  </w:style>
  <w:style w:type="paragraph" w:customStyle="1" w:styleId="career-stage">
    <w:name w:val="career-stage"/>
    <w:basedOn w:val="BaseText"/>
    <w:rsid w:val="009A3899"/>
    <w:pPr>
      <w:jc w:val="right"/>
    </w:pPr>
    <w:rPr>
      <w:color w:val="339966"/>
    </w:rPr>
  </w:style>
  <w:style w:type="character" w:customStyle="1" w:styleId="citebase">
    <w:name w:val="cite_base"/>
    <w:rsid w:val="009A3899"/>
    <w:rPr>
      <w:sz w:val="24"/>
    </w:rPr>
  </w:style>
  <w:style w:type="character" w:customStyle="1" w:styleId="citebib">
    <w:name w:val="cite_bib"/>
    <w:basedOn w:val="Absatz-Standardschriftart"/>
    <w:rsid w:val="009A3899"/>
    <w:rPr>
      <w:sz w:val="24"/>
      <w:bdr w:val="none" w:sz="0" w:space="0" w:color="auto"/>
      <w:shd w:val="clear" w:color="auto" w:fill="00FFFF"/>
    </w:rPr>
  </w:style>
  <w:style w:type="character" w:customStyle="1" w:styleId="citebox">
    <w:name w:val="cite_box"/>
    <w:basedOn w:val="citebase"/>
    <w:rsid w:val="009A3899"/>
    <w:rPr>
      <w:sz w:val="24"/>
    </w:rPr>
  </w:style>
  <w:style w:type="character" w:customStyle="1" w:styleId="citeen">
    <w:name w:val="cite_en"/>
    <w:basedOn w:val="citebase"/>
    <w:rsid w:val="009A3899"/>
    <w:rPr>
      <w:sz w:val="24"/>
      <w:shd w:val="clear" w:color="auto" w:fill="FFFF00"/>
      <w:vertAlign w:val="superscript"/>
    </w:rPr>
  </w:style>
  <w:style w:type="character" w:customStyle="1" w:styleId="citeeq">
    <w:name w:val="cite_eq"/>
    <w:basedOn w:val="citebase"/>
    <w:rsid w:val="009A3899"/>
    <w:rPr>
      <w:sz w:val="24"/>
      <w:bdr w:val="none" w:sz="0" w:space="0" w:color="auto"/>
      <w:shd w:val="clear" w:color="auto" w:fill="FF99CC"/>
    </w:rPr>
  </w:style>
  <w:style w:type="character" w:customStyle="1" w:styleId="citefig">
    <w:name w:val="cite_fig"/>
    <w:basedOn w:val="citebase"/>
    <w:rsid w:val="009A3899"/>
    <w:rPr>
      <w:color w:val="000000"/>
      <w:sz w:val="24"/>
      <w:bdr w:val="none" w:sz="0" w:space="0" w:color="auto"/>
      <w:shd w:val="clear" w:color="auto" w:fill="00FF00"/>
    </w:rPr>
  </w:style>
  <w:style w:type="character" w:customStyle="1" w:styleId="citefn">
    <w:name w:val="cite_fn"/>
    <w:basedOn w:val="citebase"/>
    <w:rsid w:val="009A3899"/>
    <w:rPr>
      <w:sz w:val="24"/>
      <w:bdr w:val="none" w:sz="0" w:space="0" w:color="auto"/>
      <w:shd w:val="clear" w:color="auto" w:fill="FF0000"/>
    </w:rPr>
  </w:style>
  <w:style w:type="character" w:customStyle="1" w:styleId="citetbl">
    <w:name w:val="cite_tbl"/>
    <w:basedOn w:val="citebase"/>
    <w:rsid w:val="009A3899"/>
    <w:rPr>
      <w:color w:val="000000"/>
      <w:sz w:val="24"/>
      <w:bdr w:val="none" w:sz="0" w:space="0" w:color="auto"/>
      <w:shd w:val="clear" w:color="auto" w:fill="FF00FF"/>
    </w:rPr>
  </w:style>
  <w:style w:type="character" w:styleId="Kommentarzeichen">
    <w:name w:val="annotation reference"/>
    <w:basedOn w:val="Absatz-Standardschriftart"/>
    <w:rsid w:val="009A3899"/>
    <w:rPr>
      <w:sz w:val="18"/>
      <w:szCs w:val="18"/>
    </w:rPr>
  </w:style>
  <w:style w:type="paragraph" w:styleId="Kommentartext">
    <w:name w:val="annotation text"/>
    <w:basedOn w:val="Standard"/>
    <w:link w:val="KommentartextZchn"/>
    <w:semiHidden/>
    <w:rsid w:val="009A3899"/>
    <w:rPr>
      <w:rFonts w:eastAsia="Times New Roman"/>
    </w:rPr>
  </w:style>
  <w:style w:type="character" w:customStyle="1" w:styleId="KommentartextZchn">
    <w:name w:val="Kommentartext Zchn"/>
    <w:basedOn w:val="Absatz-Standardschriftart"/>
    <w:link w:val="Kommentartext"/>
    <w:semiHidden/>
    <w:rsid w:val="009A3899"/>
    <w:rPr>
      <w:rFonts w:ascii="Times New Roman" w:eastAsia="Times New Roman" w:hAnsi="Times New Roman"/>
      <w:sz w:val="20"/>
      <w:szCs w:val="20"/>
    </w:rPr>
  </w:style>
  <w:style w:type="paragraph" w:styleId="Kommentarthema">
    <w:name w:val="annotation subject"/>
    <w:basedOn w:val="Kommentartext"/>
    <w:next w:val="Kommentartext"/>
    <w:link w:val="KommentarthemaZchn"/>
    <w:uiPriority w:val="99"/>
    <w:semiHidden/>
    <w:unhideWhenUsed/>
    <w:rsid w:val="009A3899"/>
    <w:rPr>
      <w:b/>
      <w:bCs/>
    </w:rPr>
  </w:style>
  <w:style w:type="character" w:customStyle="1" w:styleId="KommentarthemaZchn">
    <w:name w:val="Kommentarthema Zchn"/>
    <w:basedOn w:val="KommentartextZchn"/>
    <w:link w:val="Kommentarthema"/>
    <w:uiPriority w:val="99"/>
    <w:semiHidden/>
    <w:rsid w:val="009A3899"/>
    <w:rPr>
      <w:rFonts w:ascii="Times New Roman" w:eastAsia="Times New Roman" w:hAnsi="Times New Roman"/>
      <w:b/>
      <w:bCs/>
      <w:sz w:val="20"/>
      <w:szCs w:val="20"/>
    </w:rPr>
  </w:style>
  <w:style w:type="paragraph" w:customStyle="1" w:styleId="ContinuedParagraph">
    <w:name w:val="ContinuedParagraph"/>
    <w:basedOn w:val="Paragraph"/>
    <w:rsid w:val="009A3899"/>
    <w:pPr>
      <w:ind w:firstLine="0"/>
    </w:pPr>
  </w:style>
  <w:style w:type="character" w:customStyle="1" w:styleId="ContractNumber">
    <w:name w:val="Contract Number"/>
    <w:basedOn w:val="Absatz-Standardschriftart"/>
    <w:rsid w:val="009A3899"/>
    <w:rPr>
      <w:sz w:val="24"/>
      <w:szCs w:val="24"/>
      <w:bdr w:val="none" w:sz="0" w:space="0" w:color="auto"/>
      <w:shd w:val="clear" w:color="auto" w:fill="CCFFCC"/>
    </w:rPr>
  </w:style>
  <w:style w:type="character" w:customStyle="1" w:styleId="ContractSponsor">
    <w:name w:val="Contract Sponsor"/>
    <w:basedOn w:val="Absatz-Standardschriftart"/>
    <w:rsid w:val="009A3899"/>
    <w:rPr>
      <w:sz w:val="24"/>
      <w:szCs w:val="24"/>
      <w:bdr w:val="none" w:sz="0" w:space="0" w:color="auto"/>
      <w:shd w:val="clear" w:color="auto" w:fill="FFCC99"/>
    </w:rPr>
  </w:style>
  <w:style w:type="paragraph" w:customStyle="1" w:styleId="Correspondence">
    <w:name w:val="Correspondence"/>
    <w:basedOn w:val="BaseText"/>
    <w:rsid w:val="009A3899"/>
    <w:pPr>
      <w:spacing w:before="0" w:after="240"/>
    </w:pPr>
  </w:style>
  <w:style w:type="paragraph" w:customStyle="1" w:styleId="DateAccepted">
    <w:name w:val="Date Accepted"/>
    <w:basedOn w:val="BaseText"/>
    <w:rsid w:val="009A3899"/>
    <w:pPr>
      <w:spacing w:before="360"/>
    </w:pPr>
  </w:style>
  <w:style w:type="paragraph" w:customStyle="1" w:styleId="Deck">
    <w:name w:val="Deck"/>
    <w:basedOn w:val="BaseHeading"/>
    <w:rsid w:val="009A3899"/>
    <w:pPr>
      <w:outlineLvl w:val="1"/>
    </w:pPr>
  </w:style>
  <w:style w:type="paragraph" w:customStyle="1" w:styleId="DefTerm">
    <w:name w:val="DefTerm"/>
    <w:basedOn w:val="BaseText"/>
    <w:rsid w:val="009A3899"/>
    <w:pPr>
      <w:ind w:left="720"/>
    </w:pPr>
  </w:style>
  <w:style w:type="paragraph" w:customStyle="1" w:styleId="Definition">
    <w:name w:val="Definition"/>
    <w:basedOn w:val="DefTerm"/>
    <w:rsid w:val="009A3899"/>
    <w:pPr>
      <w:ind w:left="1080" w:hanging="360"/>
    </w:pPr>
  </w:style>
  <w:style w:type="paragraph" w:customStyle="1" w:styleId="DefListTitle">
    <w:name w:val="DefListTitle"/>
    <w:basedOn w:val="BaseHeading"/>
    <w:rsid w:val="009A3899"/>
  </w:style>
  <w:style w:type="paragraph" w:customStyle="1" w:styleId="discipline">
    <w:name w:val="discipline"/>
    <w:basedOn w:val="BaseText"/>
    <w:rsid w:val="009A3899"/>
    <w:pPr>
      <w:jc w:val="right"/>
    </w:pPr>
    <w:rPr>
      <w:color w:val="993366"/>
    </w:rPr>
  </w:style>
  <w:style w:type="paragraph" w:customStyle="1" w:styleId="Editors">
    <w:name w:val="Editors"/>
    <w:basedOn w:val="Authors"/>
    <w:rsid w:val="009A3899"/>
  </w:style>
  <w:style w:type="character" w:styleId="Hervorhebung">
    <w:name w:val="Emphasis"/>
    <w:basedOn w:val="Absatz-Standardschriftart"/>
    <w:uiPriority w:val="20"/>
    <w:qFormat/>
    <w:rsid w:val="009A3899"/>
    <w:rPr>
      <w:i/>
      <w:iCs/>
    </w:rPr>
  </w:style>
  <w:style w:type="character" w:styleId="Endnotenzeichen">
    <w:name w:val="endnote reference"/>
    <w:basedOn w:val="Absatz-Standardschriftart"/>
    <w:semiHidden/>
    <w:rsid w:val="009A3899"/>
    <w:rPr>
      <w:vertAlign w:val="superscript"/>
    </w:rPr>
  </w:style>
  <w:style w:type="paragraph" w:styleId="Endnotentext">
    <w:name w:val="endnote text"/>
    <w:basedOn w:val="Standard"/>
    <w:link w:val="EndnotentextZchn"/>
    <w:semiHidden/>
    <w:rsid w:val="009A3899"/>
    <w:rPr>
      <w:rFonts w:ascii="Cambria" w:eastAsia="Cambria" w:hAnsi="Cambria"/>
    </w:rPr>
  </w:style>
  <w:style w:type="character" w:customStyle="1" w:styleId="EndnotentextZchn">
    <w:name w:val="Endnotentext Zchn"/>
    <w:basedOn w:val="Absatz-Standardschriftart"/>
    <w:link w:val="Endnotentext"/>
    <w:semiHidden/>
    <w:rsid w:val="009A3899"/>
    <w:rPr>
      <w:rFonts w:ascii="Cambria" w:eastAsia="Cambria" w:hAnsi="Cambria"/>
      <w:sz w:val="20"/>
      <w:szCs w:val="20"/>
    </w:rPr>
  </w:style>
  <w:style w:type="character" w:customStyle="1" w:styleId="eqno">
    <w:name w:val="eq_no"/>
    <w:basedOn w:val="citebase"/>
    <w:rsid w:val="009A3899"/>
    <w:rPr>
      <w:sz w:val="24"/>
    </w:rPr>
  </w:style>
  <w:style w:type="paragraph" w:customStyle="1" w:styleId="Equation">
    <w:name w:val="Equation"/>
    <w:basedOn w:val="BaseText"/>
    <w:rsid w:val="009A3899"/>
    <w:pPr>
      <w:jc w:val="center"/>
    </w:pPr>
  </w:style>
  <w:style w:type="paragraph" w:customStyle="1" w:styleId="FieldCodes">
    <w:name w:val="FieldCodes"/>
    <w:basedOn w:val="BaseText"/>
    <w:rsid w:val="009A3899"/>
  </w:style>
  <w:style w:type="paragraph" w:customStyle="1" w:styleId="Legend">
    <w:name w:val="Legend"/>
    <w:basedOn w:val="BaseHeading"/>
    <w:rsid w:val="009A3899"/>
    <w:rPr>
      <w:sz w:val="24"/>
      <w:szCs w:val="24"/>
    </w:rPr>
  </w:style>
  <w:style w:type="paragraph" w:customStyle="1" w:styleId="FigureCopyright">
    <w:name w:val="FigureCopyright"/>
    <w:basedOn w:val="Legend"/>
    <w:rsid w:val="009A3899"/>
    <w:pPr>
      <w:autoSpaceDE w:val="0"/>
      <w:autoSpaceDN w:val="0"/>
      <w:adjustRightInd w:val="0"/>
      <w:spacing w:before="80"/>
    </w:pPr>
    <w:rPr>
      <w:lang w:bidi="he-IL"/>
    </w:rPr>
  </w:style>
  <w:style w:type="paragraph" w:customStyle="1" w:styleId="FigureCredit">
    <w:name w:val="FigureCredit"/>
    <w:basedOn w:val="FigureCopyright"/>
    <w:rsid w:val="009A3899"/>
  </w:style>
  <w:style w:type="character" w:styleId="BesuchterLink">
    <w:name w:val="FollowedHyperlink"/>
    <w:basedOn w:val="Absatz-Standardschriftart"/>
    <w:rsid w:val="009A3899"/>
    <w:rPr>
      <w:color w:val="800080"/>
      <w:u w:val="single"/>
    </w:rPr>
  </w:style>
  <w:style w:type="paragraph" w:styleId="Fuzeile">
    <w:name w:val="footer"/>
    <w:basedOn w:val="Standard"/>
    <w:link w:val="FuzeileZchn"/>
    <w:uiPriority w:val="99"/>
    <w:rsid w:val="009A3899"/>
    <w:pPr>
      <w:tabs>
        <w:tab w:val="center" w:pos="4320"/>
        <w:tab w:val="right" w:pos="8640"/>
      </w:tabs>
    </w:pPr>
    <w:rPr>
      <w:rFonts w:eastAsia="Times New Roman"/>
    </w:rPr>
  </w:style>
  <w:style w:type="character" w:customStyle="1" w:styleId="FuzeileZchn">
    <w:name w:val="Fußzeile Zchn"/>
    <w:basedOn w:val="Absatz-Standardschriftart"/>
    <w:link w:val="Fuzeile"/>
    <w:uiPriority w:val="99"/>
    <w:rsid w:val="009A3899"/>
    <w:rPr>
      <w:rFonts w:ascii="Times New Roman" w:eastAsia="Times New Roman" w:hAnsi="Times New Roman"/>
      <w:sz w:val="20"/>
      <w:szCs w:val="20"/>
    </w:rPr>
  </w:style>
  <w:style w:type="character" w:styleId="Funotenzeichen">
    <w:name w:val="footnote reference"/>
    <w:basedOn w:val="Absatz-Standardschriftart"/>
    <w:semiHidden/>
    <w:rsid w:val="009A3899"/>
    <w:rPr>
      <w:vertAlign w:val="superscript"/>
    </w:rPr>
  </w:style>
  <w:style w:type="paragraph" w:customStyle="1" w:styleId="Gloss">
    <w:name w:val="Gloss"/>
    <w:basedOn w:val="AbstractSummary"/>
    <w:rsid w:val="009A3899"/>
  </w:style>
  <w:style w:type="paragraph" w:customStyle="1" w:styleId="Glossary">
    <w:name w:val="Glossary"/>
    <w:basedOn w:val="BaseText"/>
    <w:rsid w:val="009A3899"/>
  </w:style>
  <w:style w:type="paragraph" w:customStyle="1" w:styleId="GlossHead">
    <w:name w:val="GlossHead"/>
    <w:basedOn w:val="AbstractHead"/>
    <w:rsid w:val="009A3899"/>
  </w:style>
  <w:style w:type="paragraph" w:customStyle="1" w:styleId="GraphicAltText">
    <w:name w:val="GraphicAltText"/>
    <w:basedOn w:val="Legend"/>
    <w:rsid w:val="009A3899"/>
    <w:pPr>
      <w:autoSpaceDE w:val="0"/>
      <w:autoSpaceDN w:val="0"/>
      <w:adjustRightInd w:val="0"/>
    </w:pPr>
  </w:style>
  <w:style w:type="paragraph" w:customStyle="1" w:styleId="GraphicCredit">
    <w:name w:val="GraphicCredit"/>
    <w:basedOn w:val="FigureCredit"/>
    <w:rsid w:val="009A3899"/>
  </w:style>
  <w:style w:type="paragraph" w:customStyle="1" w:styleId="Head">
    <w:name w:val="Head"/>
    <w:basedOn w:val="BaseHeading"/>
    <w:rsid w:val="009A3899"/>
    <w:pPr>
      <w:spacing w:before="120" w:after="120"/>
      <w:jc w:val="center"/>
    </w:pPr>
    <w:rPr>
      <w:b/>
      <w:bCs/>
    </w:rPr>
  </w:style>
  <w:style w:type="paragraph" w:styleId="Kopfzeile">
    <w:name w:val="header"/>
    <w:basedOn w:val="Standard"/>
    <w:link w:val="KopfzeileZchn"/>
    <w:rsid w:val="009A3899"/>
    <w:pPr>
      <w:tabs>
        <w:tab w:val="center" w:pos="4320"/>
        <w:tab w:val="right" w:pos="8640"/>
      </w:tabs>
    </w:pPr>
    <w:rPr>
      <w:rFonts w:eastAsia="Times New Roman"/>
    </w:rPr>
  </w:style>
  <w:style w:type="character" w:customStyle="1" w:styleId="KopfzeileZchn">
    <w:name w:val="Kopfzeile Zchn"/>
    <w:basedOn w:val="Absatz-Standardschriftart"/>
    <w:link w:val="Kopfzeile"/>
    <w:rsid w:val="009A3899"/>
    <w:rPr>
      <w:rFonts w:ascii="Times New Roman" w:eastAsia="Times New Roman" w:hAnsi="Times New Roman"/>
      <w:sz w:val="20"/>
      <w:szCs w:val="20"/>
    </w:rPr>
  </w:style>
  <w:style w:type="character" w:styleId="HTMLAkronym">
    <w:name w:val="HTML Acronym"/>
    <w:basedOn w:val="Absatz-Standardschriftart"/>
    <w:rsid w:val="009A3899"/>
  </w:style>
  <w:style w:type="character" w:styleId="HTMLZitat">
    <w:name w:val="HTML Cite"/>
    <w:basedOn w:val="Absatz-Standardschriftart"/>
    <w:rsid w:val="009A3899"/>
    <w:rPr>
      <w:i/>
      <w:iCs/>
    </w:rPr>
  </w:style>
  <w:style w:type="character" w:styleId="HTMLCode">
    <w:name w:val="HTML Code"/>
    <w:basedOn w:val="Absatz-Standardschriftart"/>
    <w:rsid w:val="009A3899"/>
    <w:rPr>
      <w:rFonts w:ascii="Courier New" w:hAnsi="Courier New" w:cs="Courier New"/>
      <w:sz w:val="20"/>
      <w:szCs w:val="20"/>
    </w:rPr>
  </w:style>
  <w:style w:type="character" w:styleId="HTMLDefinition">
    <w:name w:val="HTML Definition"/>
    <w:basedOn w:val="Absatz-Standardschriftart"/>
    <w:rsid w:val="009A3899"/>
    <w:rPr>
      <w:i/>
      <w:iCs/>
    </w:rPr>
  </w:style>
  <w:style w:type="character" w:styleId="HTMLTastatur">
    <w:name w:val="HTML Keyboard"/>
    <w:basedOn w:val="Absatz-Standardschriftart"/>
    <w:rsid w:val="009A3899"/>
    <w:rPr>
      <w:rFonts w:ascii="Courier New" w:hAnsi="Courier New" w:cs="Courier New"/>
      <w:sz w:val="20"/>
      <w:szCs w:val="20"/>
    </w:rPr>
  </w:style>
  <w:style w:type="paragraph" w:styleId="HTMLVorformatiert">
    <w:name w:val="HTML Preformatted"/>
    <w:basedOn w:val="Standard"/>
    <w:link w:val="HTMLVorformatiertZchn"/>
    <w:rsid w:val="009A3899"/>
    <w:rPr>
      <w:rFonts w:ascii="Consolas" w:eastAsia="Times New Roman" w:hAnsi="Consolas"/>
    </w:rPr>
  </w:style>
  <w:style w:type="character" w:customStyle="1" w:styleId="HTMLVorformatiertZchn">
    <w:name w:val="HTML Vorformatiert Zchn"/>
    <w:basedOn w:val="Absatz-Standardschriftart"/>
    <w:link w:val="HTMLVorformatiert"/>
    <w:rsid w:val="009A3899"/>
    <w:rPr>
      <w:rFonts w:ascii="Consolas" w:eastAsia="Times New Roman" w:hAnsi="Consolas"/>
      <w:sz w:val="20"/>
      <w:szCs w:val="20"/>
    </w:rPr>
  </w:style>
  <w:style w:type="character" w:styleId="HTMLBeispiel">
    <w:name w:val="HTML Sample"/>
    <w:basedOn w:val="Absatz-Standardschriftart"/>
    <w:rsid w:val="009A3899"/>
    <w:rPr>
      <w:rFonts w:ascii="Courier New" w:hAnsi="Courier New" w:cs="Courier New"/>
    </w:rPr>
  </w:style>
  <w:style w:type="character" w:styleId="HTMLSchreibmaschine">
    <w:name w:val="HTML Typewriter"/>
    <w:basedOn w:val="Absatz-Standardschriftart"/>
    <w:rsid w:val="009A3899"/>
    <w:rPr>
      <w:rFonts w:ascii="Courier New" w:hAnsi="Courier New" w:cs="Courier New"/>
      <w:sz w:val="20"/>
      <w:szCs w:val="20"/>
    </w:rPr>
  </w:style>
  <w:style w:type="character" w:styleId="HTMLVariable">
    <w:name w:val="HTML Variable"/>
    <w:basedOn w:val="Absatz-Standardschriftart"/>
    <w:rsid w:val="009A3899"/>
    <w:rPr>
      <w:i/>
      <w:iCs/>
    </w:rPr>
  </w:style>
  <w:style w:type="character" w:styleId="Hyperlink">
    <w:name w:val="Hyperlink"/>
    <w:basedOn w:val="Absatz-Standardschriftart"/>
    <w:rsid w:val="009A3899"/>
    <w:rPr>
      <w:color w:val="0000FF"/>
      <w:u w:val="single"/>
    </w:rPr>
  </w:style>
  <w:style w:type="paragraph" w:customStyle="1" w:styleId="InstructionsText">
    <w:name w:val="Instructions Text"/>
    <w:basedOn w:val="BaseText"/>
    <w:rsid w:val="009A3899"/>
  </w:style>
  <w:style w:type="paragraph" w:customStyle="1" w:styleId="Overline">
    <w:name w:val="Overline"/>
    <w:basedOn w:val="BaseText"/>
    <w:rsid w:val="009A3899"/>
  </w:style>
  <w:style w:type="paragraph" w:customStyle="1" w:styleId="IssueName">
    <w:name w:val="IssueName"/>
    <w:basedOn w:val="Overline"/>
    <w:rsid w:val="009A3899"/>
  </w:style>
  <w:style w:type="paragraph" w:customStyle="1" w:styleId="Keywords">
    <w:name w:val="Keywords"/>
    <w:basedOn w:val="BaseText"/>
    <w:rsid w:val="009A3899"/>
  </w:style>
  <w:style w:type="paragraph" w:customStyle="1" w:styleId="Level3Head">
    <w:name w:val="Level 3 Head"/>
    <w:basedOn w:val="BaseHeading"/>
    <w:rsid w:val="009A3899"/>
    <w:pPr>
      <w:outlineLvl w:val="2"/>
    </w:pPr>
    <w:rPr>
      <w:sz w:val="24"/>
      <w:szCs w:val="24"/>
      <w:u w:val="single"/>
    </w:rPr>
  </w:style>
  <w:style w:type="paragraph" w:customStyle="1" w:styleId="Level4Head">
    <w:name w:val="Level 4 Head"/>
    <w:basedOn w:val="BaseHeading"/>
    <w:rsid w:val="009A3899"/>
    <w:pPr>
      <w:ind w:left="346"/>
    </w:pPr>
    <w:rPr>
      <w:sz w:val="24"/>
      <w:szCs w:val="24"/>
    </w:rPr>
  </w:style>
  <w:style w:type="character" w:styleId="Zeilennummer">
    <w:name w:val="line number"/>
    <w:basedOn w:val="Absatz-Standardschriftart"/>
    <w:rsid w:val="009A3899"/>
  </w:style>
  <w:style w:type="paragraph" w:customStyle="1" w:styleId="Literaryquote">
    <w:name w:val="Literary quote"/>
    <w:basedOn w:val="BaseText"/>
    <w:rsid w:val="009A3899"/>
    <w:pPr>
      <w:ind w:left="1440" w:right="1440"/>
    </w:pPr>
  </w:style>
  <w:style w:type="paragraph" w:customStyle="1" w:styleId="MaterialsText">
    <w:name w:val="Materials Text"/>
    <w:basedOn w:val="BaseText"/>
    <w:rsid w:val="009A3899"/>
  </w:style>
  <w:style w:type="paragraph" w:customStyle="1" w:styleId="NoteInProof">
    <w:name w:val="NoteInProof"/>
    <w:basedOn w:val="BaseText"/>
    <w:rsid w:val="009A3899"/>
  </w:style>
  <w:style w:type="paragraph" w:customStyle="1" w:styleId="Notes">
    <w:name w:val="Notes"/>
    <w:basedOn w:val="BaseText"/>
    <w:rsid w:val="009A3899"/>
    <w:rPr>
      <w:i/>
    </w:rPr>
  </w:style>
  <w:style w:type="paragraph" w:customStyle="1" w:styleId="Notes-Helvetica">
    <w:name w:val="Notes-Helvetica"/>
    <w:basedOn w:val="BaseText"/>
    <w:rsid w:val="009A3899"/>
    <w:rPr>
      <w:i/>
    </w:rPr>
  </w:style>
  <w:style w:type="paragraph" w:customStyle="1" w:styleId="NumberedInstructions">
    <w:name w:val="Numbered Instructions"/>
    <w:basedOn w:val="BaseText"/>
    <w:rsid w:val="009A3899"/>
  </w:style>
  <w:style w:type="paragraph" w:customStyle="1" w:styleId="OutlineLevel1">
    <w:name w:val="OutlineLevel1"/>
    <w:basedOn w:val="BaseHeading"/>
    <w:rsid w:val="009A3899"/>
    <w:rPr>
      <w:b/>
      <w:bCs/>
    </w:rPr>
  </w:style>
  <w:style w:type="paragraph" w:customStyle="1" w:styleId="OutlineLevel2">
    <w:name w:val="OutlineLevel2"/>
    <w:basedOn w:val="BaseHeading"/>
    <w:rsid w:val="009A3899"/>
    <w:pPr>
      <w:ind w:left="360"/>
      <w:outlineLvl w:val="1"/>
    </w:pPr>
    <w:rPr>
      <w:b/>
      <w:bCs/>
      <w:sz w:val="24"/>
      <w:szCs w:val="24"/>
    </w:rPr>
  </w:style>
  <w:style w:type="paragraph" w:customStyle="1" w:styleId="OutlineLevel3">
    <w:name w:val="OutlineLevel3"/>
    <w:basedOn w:val="BaseHeading"/>
    <w:rsid w:val="009A3899"/>
    <w:pPr>
      <w:ind w:left="720"/>
      <w:outlineLvl w:val="2"/>
    </w:pPr>
    <w:rPr>
      <w:b/>
      <w:bCs/>
      <w:sz w:val="24"/>
      <w:szCs w:val="24"/>
    </w:rPr>
  </w:style>
  <w:style w:type="character" w:styleId="Seitenzahl">
    <w:name w:val="page number"/>
    <w:basedOn w:val="Absatz-Standardschriftart"/>
    <w:rsid w:val="009A3899"/>
  </w:style>
  <w:style w:type="paragraph" w:customStyle="1" w:styleId="Preformat">
    <w:name w:val="Preformat"/>
    <w:basedOn w:val="BaseText"/>
    <w:rsid w:val="009A3899"/>
    <w:pPr>
      <w:tabs>
        <w:tab w:val="left" w:pos="360"/>
        <w:tab w:val="left" w:pos="720"/>
        <w:tab w:val="left" w:pos="1080"/>
        <w:tab w:val="left" w:pos="1440"/>
        <w:tab w:val="left" w:pos="1800"/>
        <w:tab w:val="left" w:pos="2160"/>
        <w:tab w:val="left" w:pos="2520"/>
        <w:tab w:val="left" w:pos="2880"/>
      </w:tabs>
    </w:pPr>
    <w:rPr>
      <w:rFonts w:ascii="Courier New" w:hAnsi="Courier New" w:cs="Courier New"/>
    </w:rPr>
  </w:style>
  <w:style w:type="paragraph" w:customStyle="1" w:styleId="ProductAuthors">
    <w:name w:val="ProductAuthors"/>
    <w:basedOn w:val="BaseText"/>
    <w:rsid w:val="009A3899"/>
  </w:style>
  <w:style w:type="paragraph" w:customStyle="1" w:styleId="ProductInformation">
    <w:name w:val="ProductInformation"/>
    <w:basedOn w:val="BaseText"/>
    <w:rsid w:val="009A3899"/>
  </w:style>
  <w:style w:type="paragraph" w:customStyle="1" w:styleId="ProductTitle">
    <w:name w:val="ProductTitle"/>
    <w:basedOn w:val="BaseText"/>
    <w:rsid w:val="009A3899"/>
    <w:rPr>
      <w:b/>
      <w:bCs/>
    </w:rPr>
  </w:style>
  <w:style w:type="paragraph" w:customStyle="1" w:styleId="PublishedOnline">
    <w:name w:val="Published Online"/>
    <w:basedOn w:val="DateAccepted"/>
    <w:rsid w:val="009A3899"/>
  </w:style>
  <w:style w:type="paragraph" w:customStyle="1" w:styleId="RecipeMaterials">
    <w:name w:val="Recipe Materials"/>
    <w:basedOn w:val="BaseText"/>
    <w:rsid w:val="009A3899"/>
  </w:style>
  <w:style w:type="paragraph" w:customStyle="1" w:styleId="Refhead">
    <w:name w:val="Ref head"/>
    <w:basedOn w:val="BaseHeading"/>
    <w:rsid w:val="009A3899"/>
    <w:pPr>
      <w:spacing w:before="120" w:after="120"/>
    </w:pPr>
    <w:rPr>
      <w:b/>
      <w:bCs/>
      <w:sz w:val="24"/>
      <w:szCs w:val="24"/>
    </w:rPr>
  </w:style>
  <w:style w:type="paragraph" w:customStyle="1" w:styleId="ReferenceNote">
    <w:name w:val="Reference Note"/>
    <w:basedOn w:val="Referencesandnotes"/>
    <w:rsid w:val="009A3899"/>
  </w:style>
  <w:style w:type="paragraph" w:customStyle="1" w:styleId="ReferencesandnotesLong">
    <w:name w:val="References and notes Long"/>
    <w:basedOn w:val="BaseText"/>
    <w:rsid w:val="009A3899"/>
    <w:pPr>
      <w:ind w:left="720" w:hanging="720"/>
    </w:pPr>
  </w:style>
  <w:style w:type="paragraph" w:customStyle="1" w:styleId="region">
    <w:name w:val="region"/>
    <w:basedOn w:val="BaseText"/>
    <w:rsid w:val="009A3899"/>
    <w:pPr>
      <w:jc w:val="right"/>
    </w:pPr>
    <w:rPr>
      <w:color w:val="0000FF"/>
    </w:rPr>
  </w:style>
  <w:style w:type="paragraph" w:customStyle="1" w:styleId="RelatedArticle">
    <w:name w:val="RelatedArticle"/>
    <w:basedOn w:val="Referencesandnotes"/>
    <w:rsid w:val="009A3899"/>
  </w:style>
  <w:style w:type="paragraph" w:customStyle="1" w:styleId="RunHead">
    <w:name w:val="RunHead"/>
    <w:basedOn w:val="BaseText"/>
    <w:rsid w:val="009A3899"/>
  </w:style>
  <w:style w:type="paragraph" w:customStyle="1" w:styleId="SOMContent">
    <w:name w:val="SOMContent"/>
    <w:basedOn w:val="1stparatext"/>
    <w:rsid w:val="009A3899"/>
  </w:style>
  <w:style w:type="paragraph" w:customStyle="1" w:styleId="SOMHead">
    <w:name w:val="SOMHead"/>
    <w:basedOn w:val="BaseHeading"/>
    <w:rsid w:val="009A3899"/>
    <w:rPr>
      <w:b/>
      <w:sz w:val="24"/>
      <w:szCs w:val="24"/>
    </w:rPr>
  </w:style>
  <w:style w:type="paragraph" w:customStyle="1" w:styleId="Speaker">
    <w:name w:val="Speaker"/>
    <w:basedOn w:val="Paragraph"/>
    <w:rsid w:val="009A3899"/>
    <w:pPr>
      <w:autoSpaceDE w:val="0"/>
      <w:autoSpaceDN w:val="0"/>
      <w:adjustRightInd w:val="0"/>
    </w:pPr>
    <w:rPr>
      <w:b/>
      <w:lang w:bidi="he-IL"/>
    </w:rPr>
  </w:style>
  <w:style w:type="paragraph" w:customStyle="1" w:styleId="Speech">
    <w:name w:val="Speech"/>
    <w:basedOn w:val="Paragraph"/>
    <w:rsid w:val="009A3899"/>
    <w:pPr>
      <w:autoSpaceDE w:val="0"/>
      <w:autoSpaceDN w:val="0"/>
      <w:adjustRightInd w:val="0"/>
    </w:pPr>
    <w:rPr>
      <w:lang w:bidi="he-IL"/>
    </w:rPr>
  </w:style>
  <w:style w:type="character" w:styleId="Fett">
    <w:name w:val="Strong"/>
    <w:basedOn w:val="Absatz-Standardschriftart"/>
    <w:uiPriority w:val="22"/>
    <w:qFormat/>
    <w:rsid w:val="009A3899"/>
    <w:rPr>
      <w:b/>
      <w:bCs/>
    </w:rPr>
  </w:style>
  <w:style w:type="paragraph" w:customStyle="1" w:styleId="SX-Abstract">
    <w:name w:val="SX-Abstract"/>
    <w:basedOn w:val="Standard"/>
    <w:qFormat/>
    <w:rsid w:val="009A3899"/>
    <w:pPr>
      <w:widowControl w:val="0"/>
      <w:spacing w:before="120" w:after="240" w:line="210" w:lineRule="exact"/>
      <w:ind w:left="700" w:right="700"/>
      <w:jc w:val="both"/>
    </w:pPr>
    <w:rPr>
      <w:rFonts w:ascii="BlissRegular" w:eastAsia="Times New Roman" w:hAnsi="BlissRegular"/>
      <w:b/>
    </w:rPr>
  </w:style>
  <w:style w:type="paragraph" w:customStyle="1" w:styleId="SX-Affiliation">
    <w:name w:val="SX-Affiliation"/>
    <w:basedOn w:val="Standard"/>
    <w:next w:val="Standard"/>
    <w:qFormat/>
    <w:rsid w:val="009A3899"/>
    <w:pPr>
      <w:spacing w:after="160" w:line="190" w:lineRule="exact"/>
    </w:pPr>
    <w:rPr>
      <w:rFonts w:ascii="BlissRegular" w:eastAsia="Times New Roman" w:hAnsi="BlissRegular"/>
      <w:sz w:val="16"/>
    </w:rPr>
  </w:style>
  <w:style w:type="paragraph" w:customStyle="1" w:styleId="SX-Articlehead">
    <w:name w:val="SX-Article head"/>
    <w:basedOn w:val="Standard"/>
    <w:qFormat/>
    <w:rsid w:val="009A3899"/>
    <w:pPr>
      <w:spacing w:before="210" w:line="210" w:lineRule="exact"/>
      <w:ind w:firstLine="288"/>
      <w:jc w:val="both"/>
    </w:pPr>
    <w:rPr>
      <w:rFonts w:eastAsia="Times New Roman"/>
      <w:b/>
      <w:sz w:val="18"/>
    </w:rPr>
  </w:style>
  <w:style w:type="paragraph" w:customStyle="1" w:styleId="SX-Authornames">
    <w:name w:val="SX-Author names"/>
    <w:basedOn w:val="Standard"/>
    <w:rsid w:val="009A3899"/>
    <w:pPr>
      <w:spacing w:after="120" w:line="210" w:lineRule="exact"/>
    </w:pPr>
    <w:rPr>
      <w:rFonts w:ascii="BlissMedium" w:eastAsia="Times New Roman" w:hAnsi="BlissMedium"/>
    </w:rPr>
  </w:style>
  <w:style w:type="paragraph" w:customStyle="1" w:styleId="SX-Bodytext">
    <w:name w:val="SX-Body text"/>
    <w:basedOn w:val="Standard"/>
    <w:next w:val="Standard"/>
    <w:rsid w:val="009A3899"/>
    <w:pPr>
      <w:spacing w:line="210" w:lineRule="exact"/>
      <w:ind w:firstLine="288"/>
      <w:jc w:val="both"/>
    </w:pPr>
    <w:rPr>
      <w:rFonts w:eastAsia="Times New Roman"/>
      <w:sz w:val="18"/>
    </w:rPr>
  </w:style>
  <w:style w:type="paragraph" w:customStyle="1" w:styleId="SX-Bodytextflush">
    <w:name w:val="SX-Body text flush"/>
    <w:basedOn w:val="SX-Bodytext"/>
    <w:next w:val="SX-Bodytext"/>
    <w:rsid w:val="009A3899"/>
    <w:pPr>
      <w:ind w:firstLine="0"/>
    </w:pPr>
  </w:style>
  <w:style w:type="paragraph" w:customStyle="1" w:styleId="SX-Correspondence">
    <w:name w:val="SX-Correspondence"/>
    <w:basedOn w:val="SX-Affiliation"/>
    <w:qFormat/>
    <w:rsid w:val="009A3899"/>
    <w:pPr>
      <w:spacing w:after="80"/>
    </w:pPr>
  </w:style>
  <w:style w:type="paragraph" w:customStyle="1" w:styleId="SX-Date">
    <w:name w:val="SX-Date"/>
    <w:basedOn w:val="Standard"/>
    <w:qFormat/>
    <w:rsid w:val="009A3899"/>
    <w:pPr>
      <w:spacing w:before="180" w:line="190" w:lineRule="exact"/>
      <w:ind w:left="245" w:hanging="245"/>
      <w:jc w:val="both"/>
    </w:pPr>
    <w:rPr>
      <w:rFonts w:eastAsia="Times New Roman"/>
      <w:sz w:val="16"/>
    </w:rPr>
  </w:style>
  <w:style w:type="paragraph" w:customStyle="1" w:styleId="SX-Equation">
    <w:name w:val="SX-Equation"/>
    <w:basedOn w:val="SX-Bodytextflush"/>
    <w:next w:val="SX-Bodytext"/>
    <w:rsid w:val="009A3899"/>
    <w:pPr>
      <w:autoSpaceDE w:val="0"/>
      <w:autoSpaceDN w:val="0"/>
      <w:adjustRightInd w:val="0"/>
      <w:spacing w:line="240" w:lineRule="auto"/>
      <w:jc w:val="center"/>
    </w:pPr>
  </w:style>
  <w:style w:type="paragraph" w:customStyle="1" w:styleId="SX-Legend">
    <w:name w:val="SX-Legend"/>
    <w:basedOn w:val="SX-Authornames"/>
    <w:rsid w:val="009A3899"/>
    <w:pPr>
      <w:jc w:val="both"/>
    </w:pPr>
    <w:rPr>
      <w:sz w:val="18"/>
    </w:rPr>
  </w:style>
  <w:style w:type="paragraph" w:customStyle="1" w:styleId="SX-References">
    <w:name w:val="SX-References"/>
    <w:basedOn w:val="Standard"/>
    <w:rsid w:val="009A3899"/>
    <w:pPr>
      <w:spacing w:line="190" w:lineRule="exact"/>
      <w:ind w:left="245" w:hanging="245"/>
      <w:jc w:val="both"/>
    </w:pPr>
    <w:rPr>
      <w:rFonts w:eastAsia="Times New Roman"/>
      <w:sz w:val="16"/>
    </w:rPr>
  </w:style>
  <w:style w:type="paragraph" w:customStyle="1" w:styleId="SX-RefHead">
    <w:name w:val="SX-RefHead"/>
    <w:basedOn w:val="Standard"/>
    <w:rsid w:val="009A3899"/>
    <w:pPr>
      <w:spacing w:before="200" w:line="190" w:lineRule="exact"/>
    </w:pPr>
    <w:rPr>
      <w:rFonts w:eastAsia="Times New Roman"/>
      <w:b/>
      <w:sz w:val="16"/>
    </w:rPr>
  </w:style>
  <w:style w:type="character" w:customStyle="1" w:styleId="SX-reflink">
    <w:name w:val="SX-reflink"/>
    <w:basedOn w:val="Absatz-Standardschriftart"/>
    <w:uiPriority w:val="1"/>
    <w:qFormat/>
    <w:rsid w:val="009A3899"/>
    <w:rPr>
      <w:color w:val="0000FF"/>
      <w:sz w:val="16"/>
      <w:u w:val="words"/>
      <w:bdr w:val="none" w:sz="0" w:space="0" w:color="auto"/>
      <w:shd w:val="clear" w:color="auto" w:fill="FFFFFF"/>
    </w:rPr>
  </w:style>
  <w:style w:type="paragraph" w:customStyle="1" w:styleId="SX-SOMHead">
    <w:name w:val="SX-SOMHead"/>
    <w:basedOn w:val="SX-RefHead"/>
    <w:rsid w:val="009A3899"/>
  </w:style>
  <w:style w:type="paragraph" w:customStyle="1" w:styleId="SX-Tablehead">
    <w:name w:val="SX-Tablehead"/>
    <w:basedOn w:val="Standard"/>
    <w:qFormat/>
    <w:rsid w:val="009A3899"/>
    <w:rPr>
      <w:rFonts w:eastAsia="Times New Roman"/>
      <w:szCs w:val="24"/>
    </w:rPr>
  </w:style>
  <w:style w:type="paragraph" w:customStyle="1" w:styleId="SX-Tablelegend">
    <w:name w:val="SX-Tablelegend"/>
    <w:basedOn w:val="Standard"/>
    <w:qFormat/>
    <w:rsid w:val="009A3899"/>
    <w:pPr>
      <w:spacing w:line="190" w:lineRule="exact"/>
      <w:ind w:left="245" w:hanging="245"/>
      <w:jc w:val="both"/>
    </w:pPr>
    <w:rPr>
      <w:rFonts w:eastAsia="Times New Roman"/>
      <w:sz w:val="16"/>
    </w:rPr>
  </w:style>
  <w:style w:type="paragraph" w:customStyle="1" w:styleId="SX-Tabletext">
    <w:name w:val="SX-Tabletext"/>
    <w:basedOn w:val="Standard"/>
    <w:qFormat/>
    <w:rsid w:val="009A3899"/>
    <w:pPr>
      <w:spacing w:line="210" w:lineRule="exact"/>
      <w:jc w:val="center"/>
    </w:pPr>
    <w:rPr>
      <w:rFonts w:eastAsia="Times New Roman"/>
      <w:sz w:val="18"/>
    </w:rPr>
  </w:style>
  <w:style w:type="paragraph" w:customStyle="1" w:styleId="SX-Tabletitle">
    <w:name w:val="SX-Tabletitle"/>
    <w:basedOn w:val="Standard"/>
    <w:qFormat/>
    <w:rsid w:val="009A3899"/>
    <w:pPr>
      <w:spacing w:after="120" w:line="210" w:lineRule="exact"/>
      <w:jc w:val="both"/>
    </w:pPr>
    <w:rPr>
      <w:rFonts w:ascii="BlissMedium" w:eastAsia="Times New Roman" w:hAnsi="BlissMedium"/>
      <w:sz w:val="18"/>
    </w:rPr>
  </w:style>
  <w:style w:type="paragraph" w:customStyle="1" w:styleId="SX-Title">
    <w:name w:val="SX-Title"/>
    <w:basedOn w:val="Standard"/>
    <w:rsid w:val="009A3899"/>
    <w:pPr>
      <w:spacing w:after="240" w:line="500" w:lineRule="exact"/>
    </w:pPr>
    <w:rPr>
      <w:rFonts w:ascii="BlissBold" w:eastAsia="Times New Roman" w:hAnsi="BlissBold"/>
      <w:b/>
      <w:sz w:val="44"/>
    </w:rPr>
  </w:style>
  <w:style w:type="paragraph" w:customStyle="1" w:styleId="Tablecolumnhead">
    <w:name w:val="Table column head"/>
    <w:basedOn w:val="BaseText"/>
    <w:rsid w:val="009A3899"/>
    <w:pPr>
      <w:spacing w:before="0"/>
    </w:pPr>
  </w:style>
  <w:style w:type="paragraph" w:customStyle="1" w:styleId="Tabletext">
    <w:name w:val="Table text"/>
    <w:basedOn w:val="BaseText"/>
    <w:rsid w:val="009A3899"/>
    <w:pPr>
      <w:spacing w:before="0"/>
    </w:pPr>
  </w:style>
  <w:style w:type="paragraph" w:customStyle="1" w:styleId="TableLegend">
    <w:name w:val="TableLegend"/>
    <w:basedOn w:val="BaseText"/>
    <w:rsid w:val="009A3899"/>
    <w:pPr>
      <w:spacing w:before="0"/>
    </w:pPr>
  </w:style>
  <w:style w:type="paragraph" w:customStyle="1" w:styleId="TableTitle">
    <w:name w:val="TableTitle"/>
    <w:basedOn w:val="BaseHeading"/>
    <w:rsid w:val="009A3899"/>
  </w:style>
  <w:style w:type="paragraph" w:customStyle="1" w:styleId="Teaser">
    <w:name w:val="Teaser"/>
    <w:basedOn w:val="BaseText"/>
    <w:rsid w:val="009A3899"/>
  </w:style>
  <w:style w:type="paragraph" w:customStyle="1" w:styleId="TWIS">
    <w:name w:val="TWIS"/>
    <w:basedOn w:val="AbstractSummary"/>
    <w:rsid w:val="009A3899"/>
    <w:pPr>
      <w:autoSpaceDE w:val="0"/>
      <w:autoSpaceDN w:val="0"/>
      <w:adjustRightInd w:val="0"/>
    </w:pPr>
  </w:style>
  <w:style w:type="paragraph" w:customStyle="1" w:styleId="TWISorEC">
    <w:name w:val="TWIS or EC"/>
    <w:basedOn w:val="Standard"/>
    <w:rsid w:val="009A3899"/>
    <w:pPr>
      <w:spacing w:line="210" w:lineRule="exact"/>
    </w:pPr>
    <w:rPr>
      <w:rFonts w:ascii="BlissRegular" w:eastAsia="Times New Roman" w:hAnsi="BlissRegular"/>
      <w:sz w:val="19"/>
    </w:rPr>
  </w:style>
  <w:style w:type="paragraph" w:customStyle="1" w:styleId="work-sector">
    <w:name w:val="work-sector"/>
    <w:basedOn w:val="BaseText"/>
    <w:rsid w:val="009A3899"/>
    <w:pPr>
      <w:jc w:val="right"/>
    </w:pPr>
    <w:rPr>
      <w:color w:val="003300"/>
    </w:rPr>
  </w:style>
  <w:style w:type="paragraph" w:customStyle="1" w:styleId="DOI">
    <w:name w:val="DOI"/>
    <w:basedOn w:val="DateAccepted"/>
    <w:qFormat/>
    <w:rsid w:val="009A7F20"/>
  </w:style>
  <w:style w:type="character" w:styleId="NichtaufgelsteErwhnung">
    <w:name w:val="Unresolved Mention"/>
    <w:basedOn w:val="Absatz-Standardschriftart"/>
    <w:uiPriority w:val="99"/>
    <w:semiHidden/>
    <w:unhideWhenUsed/>
    <w:rsid w:val="00F26AF7"/>
    <w:rPr>
      <w:color w:val="808080"/>
      <w:shd w:val="clear" w:color="auto" w:fill="E6E6E6"/>
    </w:rPr>
  </w:style>
  <w:style w:type="paragraph" w:customStyle="1" w:styleId="SMHeading">
    <w:name w:val="SM Heading"/>
    <w:basedOn w:val="berschrift1"/>
    <w:qFormat/>
    <w:rsid w:val="004428C2"/>
    <w:pPr>
      <w:keepLines w:val="0"/>
      <w:spacing w:after="60"/>
    </w:pPr>
    <w:rPr>
      <w:rFonts w:ascii="Times New Roman" w:eastAsia="Times New Roman" w:hAnsi="Times New Roman" w:cs="Times New Roman"/>
      <w:b/>
      <w:bCs/>
      <w:color w:val="auto"/>
      <w:kern w:val="32"/>
      <w:sz w:val="24"/>
      <w:szCs w:val="24"/>
    </w:rPr>
  </w:style>
  <w:style w:type="paragraph" w:customStyle="1" w:styleId="SMSubheading">
    <w:name w:val="SM Subheading"/>
    <w:basedOn w:val="Standard"/>
    <w:qFormat/>
    <w:rsid w:val="004428C2"/>
    <w:rPr>
      <w:rFonts w:eastAsia="Times New Roman"/>
      <w:sz w:val="24"/>
      <w:u w:val="words"/>
    </w:rPr>
  </w:style>
  <w:style w:type="paragraph" w:customStyle="1" w:styleId="SMcaption">
    <w:name w:val="SM caption"/>
    <w:basedOn w:val="Standard"/>
    <w:qFormat/>
    <w:rsid w:val="004428C2"/>
    <w:rPr>
      <w:rFonts w:eastAsia="Times New Roman"/>
      <w:sz w:val="24"/>
    </w:rPr>
  </w:style>
  <w:style w:type="paragraph" w:styleId="Funotentext">
    <w:name w:val="footnote text"/>
    <w:basedOn w:val="Standard"/>
    <w:link w:val="FunotentextZchn"/>
    <w:semiHidden/>
    <w:rsid w:val="004428C2"/>
    <w:rPr>
      <w:rFonts w:eastAsia="Times New Roman"/>
    </w:rPr>
  </w:style>
  <w:style w:type="character" w:customStyle="1" w:styleId="FunotentextZchn">
    <w:name w:val="Fußnotentext Zchn"/>
    <w:basedOn w:val="Absatz-Standardschriftart"/>
    <w:link w:val="Funotentext"/>
    <w:semiHidden/>
    <w:rsid w:val="004428C2"/>
    <w:rPr>
      <w:rFonts w:eastAsia="Times New Roman"/>
    </w:rPr>
  </w:style>
  <w:style w:type="character" w:customStyle="1" w:styleId="berschrift1Zchn">
    <w:name w:val="Überschrift 1 Zchn"/>
    <w:basedOn w:val="Absatz-Standardschriftart"/>
    <w:link w:val="berschrift1"/>
    <w:uiPriority w:val="9"/>
    <w:rsid w:val="004428C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27602">
      <w:bodyDiv w:val="1"/>
      <w:marLeft w:val="0"/>
      <w:marRight w:val="0"/>
      <w:marTop w:val="0"/>
      <w:marBottom w:val="0"/>
      <w:divBdr>
        <w:top w:val="none" w:sz="0" w:space="0" w:color="auto"/>
        <w:left w:val="none" w:sz="0" w:space="0" w:color="auto"/>
        <w:bottom w:val="none" w:sz="0" w:space="0" w:color="auto"/>
        <w:right w:val="none" w:sz="0" w:space="0" w:color="auto"/>
      </w:divBdr>
    </w:div>
    <w:div w:id="503977377">
      <w:bodyDiv w:val="1"/>
      <w:marLeft w:val="0"/>
      <w:marRight w:val="0"/>
      <w:marTop w:val="0"/>
      <w:marBottom w:val="0"/>
      <w:divBdr>
        <w:top w:val="none" w:sz="0" w:space="0" w:color="auto"/>
        <w:left w:val="none" w:sz="0" w:space="0" w:color="auto"/>
        <w:bottom w:val="none" w:sz="0" w:space="0" w:color="auto"/>
        <w:right w:val="none" w:sz="0" w:space="0" w:color="auto"/>
      </w:divBdr>
    </w:div>
    <w:div w:id="1363245527">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florian.zellweger@wsl.ch" TargetMode="External"/><Relationship Id="rId13" Type="http://schemas.openxmlformats.org/officeDocument/2006/relationships/hyperlink" Target="mailto:florian.zellweger@wsl.ch" TargetMode="External"/><Relationship Id="rId18" Type="http://schemas.openxmlformats.org/officeDocument/2006/relationships/image" Target="media/image8.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2.jpg"/><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www.forestreplot.ugent.be" TargetMode="External"/><Relationship Id="rId22" Type="http://schemas.openxmlformats.org/officeDocument/2006/relationships/image" Target="media/image12.jpeg"/><Relationship Id="rId27" Type="http://schemas.openxmlformats.org/officeDocument/2006/relationships/header" Target="header2.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naturalearthdata.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5.jpg"/></Relationships>
</file>

<file path=word/_rels/header2.xml.rels><?xml version="1.0" encoding="UTF-8" standalone="yes"?>
<Relationships xmlns="http://schemas.openxmlformats.org/package/2006/relationships"><Relationship Id="rId1"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D37DFF-B2BB-8A40-B584-9DE51EDFD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41366</Words>
  <Characters>260607</Characters>
  <Application>Microsoft Office Word</Application>
  <DocSecurity>0</DocSecurity>
  <Lines>2171</Lines>
  <Paragraphs>602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301371</CharactersWithSpaces>
  <SharedDoc>false</SharedDoc>
  <HLinks>
    <vt:vector size="24" baseType="variant">
      <vt:variant>
        <vt:i4>7077934</vt:i4>
      </vt:variant>
      <vt:variant>
        <vt:i4>9</vt:i4>
      </vt:variant>
      <vt:variant>
        <vt:i4>0</vt:i4>
      </vt:variant>
      <vt:variant>
        <vt:i4>5</vt:i4>
      </vt:variant>
      <vt:variant>
        <vt:lpwstr>http://www.sciencemag.org/about/authors/prep/res/refs.xhtml</vt:lpwstr>
      </vt:variant>
      <vt:variant>
        <vt:lpwstr/>
      </vt:variant>
      <vt:variant>
        <vt:i4>5177356</vt:i4>
      </vt:variant>
      <vt:variant>
        <vt:i4>6</vt:i4>
      </vt:variant>
      <vt:variant>
        <vt:i4>0</vt:i4>
      </vt:variant>
      <vt:variant>
        <vt:i4>5</vt:i4>
      </vt:variant>
      <vt:variant>
        <vt:lpwstr>http://www.tug.org/utilities/texconv/textopc.html</vt:lpwstr>
      </vt:variant>
      <vt:variant>
        <vt:lpwstr/>
      </vt:variant>
      <vt:variant>
        <vt:i4>3801121</vt:i4>
      </vt:variant>
      <vt:variant>
        <vt:i4>3</vt:i4>
      </vt:variant>
      <vt:variant>
        <vt:i4>0</vt:i4>
      </vt:variant>
      <vt:variant>
        <vt:i4>5</vt:i4>
      </vt:variant>
      <vt:variant>
        <vt:lpwstr>http://www.sciencemag.org/site/feature/contribinfo/index.xhtml</vt:lpwstr>
      </vt:variant>
      <vt:variant>
        <vt:lpwstr/>
      </vt:variant>
      <vt:variant>
        <vt:i4>7798821</vt:i4>
      </vt:variant>
      <vt:variant>
        <vt:i4>0</vt:i4>
      </vt:variant>
      <vt:variant>
        <vt:i4>0</vt:i4>
      </vt:variant>
      <vt:variant>
        <vt:i4>5</vt:i4>
      </vt:variant>
      <vt:variant>
        <vt:lpwstr>http://www.submit2science.org/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bhanson</dc:creator>
  <cp:lastModifiedBy>Microsoft Office User</cp:lastModifiedBy>
  <cp:revision>2</cp:revision>
  <cp:lastPrinted>2018-01-11T18:39:00Z</cp:lastPrinted>
  <dcterms:created xsi:type="dcterms:W3CDTF">2020-05-13T06:32:00Z</dcterms:created>
  <dcterms:modified xsi:type="dcterms:W3CDTF">2020-05-13T06:32:00Z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http://www.zotero.org/styles/ecology</vt:lpwstr>
  </property>
  <property fmtid="{D5CDD505-2E9C-101B-9397-08002B2CF9AE}" pid="13" name="Mendeley Recent Style Name 5_1">
    <vt:lpwstr>Ecology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http://www.zotero.org/styles/journal-of-pediatric-gastroenterology-and-nutrition</vt:lpwstr>
  </property>
  <property fmtid="{D5CDD505-2E9C-101B-9397-08002B2CF9AE}" pid="17" name="Mendeley Recent Style Name 7_1">
    <vt:lpwstr>Journal of Pediatric Gastroenterology and Nutrition</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y fmtid="{D5CDD505-2E9C-101B-9397-08002B2CF9AE}" pid="22" name="Mendeley Document_1">
    <vt:lpwstr>True</vt:lpwstr>
  </property>
  <property fmtid="{D5CDD505-2E9C-101B-9397-08002B2CF9AE}" pid="23" name="Mendeley Unique User Id_1">
    <vt:lpwstr>e5489905-9ae8-3e5d-9994-b6ca74316be8</vt:lpwstr>
  </property>
  <property fmtid="{D5CDD505-2E9C-101B-9397-08002B2CF9AE}" pid="24" name="Mendeley Citation Style_1">
    <vt:lpwstr>http://www.zotero.org/styles/science</vt:lpwstr>
  </property>
</Properties>
</file>